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A7" w:rsidRPr="007E3350" w:rsidRDefault="001A0790" w:rsidP="00DA55F7">
      <w:pPr>
        <w:rPr>
          <w:b/>
          <w:bCs/>
        </w:rPr>
      </w:pPr>
      <w:r w:rsidRPr="001A0790">
        <w:rPr>
          <w:noProof/>
          <w:lang w:val="en-US" w:eastAsia="zh-TW"/>
        </w:rPr>
        <w:pict>
          <v:group id="_x0000_s1026" style="position:absolute;margin-left:0;margin-top:0;width:580.6pt;height:751.6pt;z-index:1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<v:rect id="_x0000_s1028" style="position:absolute;left:354;top:444;width:11527;height:1790;mso-position-horizontal:center;mso-position-horizontal-relative:page;mso-position-vertical:center;mso-position-vertical-relative:page;v-text-anchor:middle" fillcolor="#e36c0a" stroked="f">
              <v:textbox style="mso-next-textbox:#_x0000_s1028" inset="18pt,,18pt">
                <w:txbxContent>
                  <w:p w:rsidR="009F2B7B" w:rsidRPr="004A1FBC" w:rsidRDefault="009F2B7B" w:rsidP="004A1FBC">
                    <w:pPr>
                      <w:pStyle w:val="NoSpacing"/>
                      <w:jc w:val="right"/>
                      <w:rPr>
                        <w:i/>
                        <w:smallCaps/>
                        <w:color w:val="002060"/>
                        <w:sz w:val="72"/>
                        <w:szCs w:val="72"/>
                      </w:rPr>
                    </w:pPr>
                    <w:r w:rsidRPr="004A1FBC">
                      <w:rPr>
                        <w:i/>
                        <w:smallCaps/>
                        <w:color w:val="002060"/>
                        <w:sz w:val="72"/>
                        <w:szCs w:val="72"/>
                      </w:rPr>
                      <w:t>SPEEDY</w:t>
                    </w:r>
                  </w:p>
                </w:txbxContent>
              </v:textbox>
            </v:rect>
            <v:rect id="_x0000_s1029" style="position:absolute;left:354;top:9607;width:2860;height:1073" fillcolor="#943634" stroked="f">
              <v:fill color2="#dfa7a6"/>
            </v:rect>
            <v:rect id="_x0000_s1030" style="position:absolute;left:3245;top:9607;width:2860;height:1073" fillcolor="#943634" stroked="f">
              <v:fill color2="#cf7b79"/>
            </v:rect>
            <v:rect id="_x0000_s1031" style="position:absolute;left:6137;top:9607;width:2860;height:1073" fillcolor="#943634" stroked="f">
              <v:fill color2="#943634"/>
            </v:rect>
            <v:rect id="_x0000_s1032" style="position:absolute;left:9028;top:9607;width:2860;height:1073;v-text-anchor:middle" fillcolor="#943634" stroked="f">
              <v:fill color2="#c4bc96"/>
              <v:textbox style="mso-next-textbox:#_x0000_s1032">
                <w:txbxContent>
                  <w:p w:rsidR="009F2B7B" w:rsidRPr="00CA29F2" w:rsidRDefault="009F2B7B">
                    <w:pPr>
                      <w:pStyle w:val="NoSpacing"/>
                      <w:rPr>
                        <w:rFonts w:ascii="Cambria" w:hAnsi="Cambria"/>
                        <w:color w:val="DBE5F1"/>
                        <w:sz w:val="56"/>
                        <w:szCs w:val="56"/>
                      </w:rPr>
                    </w:pPr>
                    <w:r w:rsidRPr="00CA29F2">
                      <w:rPr>
                        <w:rFonts w:ascii="Cambria" w:hAnsi="Cambria"/>
                        <w:color w:val="DBE5F1"/>
                        <w:sz w:val="56"/>
                        <w:szCs w:val="56"/>
                      </w:rPr>
                      <w:t>[</w:t>
                    </w:r>
                    <w:r>
                      <w:rPr>
                        <w:rFonts w:ascii="Cambria" w:hAnsi="Cambria"/>
                        <w:color w:val="DBE5F1"/>
                        <w:sz w:val="56"/>
                        <w:szCs w:val="56"/>
                      </w:rPr>
                      <w:t>2012</w:t>
                    </w:r>
                    <w:r w:rsidRPr="00CA29F2">
                      <w:rPr>
                        <w:rFonts w:ascii="Cambria" w:hAnsi="Cambria"/>
                        <w:color w:val="DBE5F1"/>
                        <w:sz w:val="56"/>
                        <w:szCs w:val="56"/>
                      </w:rPr>
                      <w:t>]</w:t>
                    </w:r>
                  </w:p>
                </w:txbxContent>
              </v:textbox>
            </v:rect>
            <v:rect id="_x0000_s1033" style="position:absolute;left:354;top:2263;width:8643;height:7316;v-text-anchor:middle" fillcolor="#9bbb59" stroked="f">
              <v:textbox style="mso-next-textbox:#_x0000_s1033" inset="18pt,,18pt">
                <w:txbxContent>
                  <w:p w:rsidR="009F2B7B" w:rsidRPr="00CA29F2" w:rsidRDefault="009F2B7B">
                    <w:pPr>
                      <w:jc w:val="right"/>
                      <w:rPr>
                        <w:rFonts w:ascii="Cambria" w:hAnsi="Cambria"/>
                        <w:color w:val="622423"/>
                        <w:sz w:val="72"/>
                        <w:szCs w:val="72"/>
                        <w:lang w:val="en-US"/>
                      </w:rPr>
                    </w:pPr>
                    <w:r w:rsidRPr="00CA29F2">
                      <w:rPr>
                        <w:rFonts w:ascii="Cambria" w:hAnsi="Cambria"/>
                        <w:sz w:val="72"/>
                        <w:szCs w:val="72"/>
                        <w:lang w:val="bg-BG"/>
                      </w:rPr>
                      <w:t>ОТЧЕТ ЗА ДЕЙНОСТТА</w:t>
                    </w:r>
                  </w:p>
                  <w:p w:rsidR="009F2B7B" w:rsidRPr="00CA29F2" w:rsidRDefault="009F2B7B">
                    <w:pPr>
                      <w:jc w:val="right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  <w:lang w:val="bg-BG"/>
                      </w:rPr>
                      <w:t>На Директора за връзки с инвеститорите</w:t>
                    </w:r>
                  </w:p>
                  <w:p w:rsidR="009F2B7B" w:rsidRPr="00CA29F2" w:rsidRDefault="009F2B7B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bg-BG"/>
                      </w:rPr>
                      <w:t>Красимир Тахчиев</w:t>
                    </w:r>
                  </w:p>
                </w:txbxContent>
              </v:textbox>
            </v:rect>
            <v:rect id="_x0000_s1034" style="position:absolute;left:9028;top:2263;width:2859;height:7316" fillcolor="#dbe5f1" stroked="f">
              <v:fill color2="#d4cfb3"/>
            </v:rect>
            <v:rect id="_x0000_s1035" style="position:absolute;left:354;top:10710;width:8643;height:3937" fillcolor="#c0504d" stroked="f">
              <v:fill color2="#d4cfb3"/>
            </v:rect>
            <v:rect id="_x0000_s1036" style="position:absolute;left:9028;top:10710;width:2859;height:3937" fillcolor="#78c0d4" stroked="f">
              <v:fill color2="#d4cfb3"/>
            </v:rect>
            <v:rect id="_x0000_s1037" style="position:absolute;left:354;top:14677;width:11527;height:716;v-text-anchor:middle" fillcolor="#943634" stroked="f">
              <v:textbox style="mso-next-textbox:#_x0000_s1037">
                <w:txbxContent>
                  <w:p w:rsidR="009F2B7B" w:rsidRPr="00CA29F2" w:rsidRDefault="009F2B7B" w:rsidP="00DA55F7">
                    <w:pPr>
                      <w:pStyle w:val="NoSpacing"/>
                      <w:rPr>
                        <w:smallCaps/>
                        <w:color w:val="FFFFFF"/>
                        <w:spacing w:val="60"/>
                        <w:sz w:val="28"/>
                        <w:szCs w:val="28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="00CA29F2">
        <w:br w:type="page"/>
      </w:r>
    </w:p>
    <w:p w:rsidR="00F041A7" w:rsidRPr="006A1576" w:rsidRDefault="00F041A7" w:rsidP="009945A0">
      <w:pPr>
        <w:pStyle w:val="BodyText"/>
        <w:tabs>
          <w:tab w:val="left" w:pos="360"/>
        </w:tabs>
        <w:spacing w:line="288" w:lineRule="auto"/>
        <w:rPr>
          <w:b/>
          <w:bCs/>
          <w:sz w:val="22"/>
          <w:szCs w:val="22"/>
        </w:rPr>
      </w:pPr>
      <w:r w:rsidRPr="006A1576">
        <w:rPr>
          <w:b/>
          <w:bCs/>
          <w:sz w:val="22"/>
          <w:szCs w:val="22"/>
        </w:rPr>
        <w:t>Уважаеми Акционери,</w:t>
      </w:r>
    </w:p>
    <w:p w:rsidR="009F2B7B" w:rsidRDefault="009F2B7B" w:rsidP="009945A0">
      <w:pPr>
        <w:pStyle w:val="BodyText"/>
        <w:tabs>
          <w:tab w:val="left" w:pos="360"/>
        </w:tabs>
        <w:spacing w:line="288" w:lineRule="auto"/>
        <w:rPr>
          <w:sz w:val="22"/>
          <w:szCs w:val="22"/>
          <w:lang w:val="en-US"/>
        </w:rPr>
      </w:pPr>
    </w:p>
    <w:p w:rsidR="0018460F" w:rsidRPr="001E6F92" w:rsidRDefault="00897DCE" w:rsidP="009945A0">
      <w:pPr>
        <w:pStyle w:val="BodyText"/>
        <w:tabs>
          <w:tab w:val="left" w:pos="36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Основната цел на Директора за връзки с инвеститорите е осъществтяване на ефективна</w:t>
      </w:r>
      <w:r w:rsidRPr="001E6F92">
        <w:rPr>
          <w:sz w:val="22"/>
          <w:szCs w:val="22"/>
        </w:rPr>
        <w:t xml:space="preserve"> </w:t>
      </w:r>
      <w:r w:rsidR="00F041A7" w:rsidRPr="001E6F92">
        <w:rPr>
          <w:sz w:val="22"/>
          <w:szCs w:val="22"/>
        </w:rPr>
        <w:t xml:space="preserve">комуникация между </w:t>
      </w:r>
      <w:r w:rsidR="00DA55F7">
        <w:rPr>
          <w:sz w:val="22"/>
          <w:szCs w:val="22"/>
        </w:rPr>
        <w:t>СПИДИ АД</w:t>
      </w:r>
      <w:r w:rsidR="00F041A7" w:rsidRPr="001E6F92">
        <w:rPr>
          <w:sz w:val="22"/>
          <w:szCs w:val="22"/>
        </w:rPr>
        <w:t xml:space="preserve"> и неговите ин</w:t>
      </w:r>
      <w:r>
        <w:rPr>
          <w:sz w:val="22"/>
          <w:szCs w:val="22"/>
        </w:rPr>
        <w:t>веститори, регулаторните органи и</w:t>
      </w:r>
      <w:r w:rsidR="00F041A7" w:rsidRPr="001E6F92">
        <w:rPr>
          <w:sz w:val="22"/>
          <w:szCs w:val="22"/>
        </w:rPr>
        <w:t xml:space="preserve"> фондо</w:t>
      </w:r>
      <w:r>
        <w:rPr>
          <w:sz w:val="22"/>
          <w:szCs w:val="22"/>
        </w:rPr>
        <w:t>вата борса</w:t>
      </w:r>
      <w:r w:rsidR="00087C41" w:rsidRPr="001E6F92">
        <w:rPr>
          <w:sz w:val="22"/>
          <w:szCs w:val="22"/>
        </w:rPr>
        <w:t>.</w:t>
      </w:r>
      <w:r w:rsidR="00C71B40" w:rsidRPr="001E6F92">
        <w:rPr>
          <w:sz w:val="22"/>
          <w:szCs w:val="22"/>
        </w:rPr>
        <w:t xml:space="preserve"> </w:t>
      </w:r>
      <w:r w:rsidR="00087C41" w:rsidRPr="001E6F92">
        <w:rPr>
          <w:sz w:val="22"/>
          <w:szCs w:val="22"/>
        </w:rPr>
        <w:t>Дейността през 20</w:t>
      </w:r>
      <w:r w:rsidR="00B9755B"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2</w:t>
      </w:r>
      <w:r w:rsidR="00087C41" w:rsidRPr="001E6F92">
        <w:rPr>
          <w:sz w:val="22"/>
          <w:szCs w:val="22"/>
        </w:rPr>
        <w:t xml:space="preserve"> г.</w:t>
      </w:r>
      <w:r w:rsidR="00AD1C4B" w:rsidRPr="001E6F92">
        <w:rPr>
          <w:sz w:val="22"/>
          <w:szCs w:val="22"/>
        </w:rPr>
        <w:t>,</w:t>
      </w:r>
      <w:r w:rsidR="00087C41" w:rsidRPr="001E6F92">
        <w:rPr>
          <w:sz w:val="22"/>
          <w:szCs w:val="22"/>
        </w:rPr>
        <w:t xml:space="preserve"> бе свързана основно с:</w:t>
      </w:r>
    </w:p>
    <w:p w:rsidR="0018460F" w:rsidRPr="001E6F92" w:rsidRDefault="00897DCE" w:rsidP="009945A0">
      <w:pPr>
        <w:pStyle w:val="BodyText"/>
        <w:numPr>
          <w:ilvl w:val="0"/>
          <w:numId w:val="5"/>
        </w:numPr>
        <w:tabs>
          <w:tab w:val="left" w:pos="36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Създаване и поддържане на</w:t>
      </w:r>
      <w:r w:rsidR="0018460F" w:rsidRPr="001E6F92">
        <w:rPr>
          <w:sz w:val="22"/>
          <w:szCs w:val="22"/>
        </w:rPr>
        <w:t xml:space="preserve"> </w:t>
      </w:r>
      <w:r>
        <w:rPr>
          <w:sz w:val="22"/>
          <w:szCs w:val="22"/>
        </w:rPr>
        <w:t>комуникация</w:t>
      </w:r>
      <w:r w:rsidR="0018460F" w:rsidRPr="001E6F92">
        <w:rPr>
          <w:sz w:val="22"/>
          <w:szCs w:val="22"/>
        </w:rPr>
        <w:t xml:space="preserve"> с </w:t>
      </w:r>
      <w:r w:rsidR="00EA72F9" w:rsidRPr="001E6F92">
        <w:rPr>
          <w:sz w:val="22"/>
          <w:szCs w:val="22"/>
        </w:rPr>
        <w:t>инвестиционната общност</w:t>
      </w:r>
    </w:p>
    <w:p w:rsidR="00336983" w:rsidRPr="006A1576" w:rsidRDefault="00897DCE" w:rsidP="009945A0">
      <w:pPr>
        <w:pStyle w:val="BodyText"/>
        <w:numPr>
          <w:ilvl w:val="0"/>
          <w:numId w:val="5"/>
        </w:numPr>
        <w:tabs>
          <w:tab w:val="left" w:pos="36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Подаване на периодична информация</w:t>
      </w:r>
      <w:r w:rsidR="00EA72F9" w:rsidRPr="006A1576">
        <w:rPr>
          <w:sz w:val="22"/>
          <w:szCs w:val="22"/>
        </w:rPr>
        <w:t xml:space="preserve"> за дейността на </w:t>
      </w:r>
      <w:r w:rsidR="00DA55F7">
        <w:rPr>
          <w:sz w:val="22"/>
          <w:szCs w:val="22"/>
        </w:rPr>
        <w:t>СПИДИ АД</w:t>
      </w:r>
    </w:p>
    <w:p w:rsidR="00F041A7" w:rsidRPr="006A1576" w:rsidRDefault="00EA72F9" w:rsidP="009945A0">
      <w:pPr>
        <w:pStyle w:val="BodyText"/>
        <w:numPr>
          <w:ilvl w:val="0"/>
          <w:numId w:val="5"/>
        </w:numPr>
        <w:tabs>
          <w:tab w:val="left" w:pos="360"/>
        </w:tabs>
        <w:spacing w:line="288" w:lineRule="auto"/>
        <w:rPr>
          <w:sz w:val="22"/>
          <w:szCs w:val="22"/>
        </w:rPr>
      </w:pPr>
      <w:r w:rsidRPr="006A1576">
        <w:rPr>
          <w:sz w:val="22"/>
          <w:szCs w:val="22"/>
        </w:rPr>
        <w:t xml:space="preserve">Осигуряване провеждането </w:t>
      </w:r>
      <w:r w:rsidR="00897DCE">
        <w:rPr>
          <w:sz w:val="22"/>
          <w:szCs w:val="22"/>
        </w:rPr>
        <w:t>н</w:t>
      </w:r>
      <w:r w:rsidR="00F041A7" w:rsidRPr="006A1576">
        <w:rPr>
          <w:sz w:val="22"/>
          <w:szCs w:val="22"/>
        </w:rPr>
        <w:t xml:space="preserve">а общо събрание на акционерите </w:t>
      </w:r>
    </w:p>
    <w:p w:rsidR="00336983" w:rsidRPr="006A1576" w:rsidRDefault="00936451" w:rsidP="009945A0">
      <w:pPr>
        <w:pStyle w:val="BodyText"/>
        <w:numPr>
          <w:ilvl w:val="0"/>
          <w:numId w:val="5"/>
        </w:numPr>
        <w:tabs>
          <w:tab w:val="left" w:pos="360"/>
        </w:tabs>
        <w:spacing w:line="288" w:lineRule="auto"/>
        <w:rPr>
          <w:sz w:val="22"/>
          <w:szCs w:val="22"/>
        </w:rPr>
      </w:pPr>
      <w:bookmarkStart w:id="0" w:name="OLE_LINK1"/>
      <w:bookmarkStart w:id="1" w:name="OLE_LINK2"/>
      <w:r>
        <w:rPr>
          <w:sz w:val="22"/>
          <w:szCs w:val="22"/>
        </w:rPr>
        <w:t>Административна</w:t>
      </w:r>
      <w:r w:rsidR="00336983" w:rsidRPr="006A1576">
        <w:rPr>
          <w:sz w:val="22"/>
          <w:szCs w:val="22"/>
        </w:rPr>
        <w:t xml:space="preserve"> </w:t>
      </w:r>
      <w:bookmarkEnd w:id="0"/>
      <w:bookmarkEnd w:id="1"/>
      <w:r>
        <w:rPr>
          <w:sz w:val="22"/>
          <w:szCs w:val="22"/>
        </w:rPr>
        <w:t>дейност</w:t>
      </w:r>
      <w:r w:rsidR="00336983" w:rsidRPr="006A1576">
        <w:rPr>
          <w:sz w:val="22"/>
          <w:szCs w:val="22"/>
        </w:rPr>
        <w:t>е</w:t>
      </w:r>
    </w:p>
    <w:p w:rsidR="00F041A7" w:rsidRDefault="00EA72F9" w:rsidP="009945A0">
      <w:pPr>
        <w:pStyle w:val="BodyText"/>
        <w:numPr>
          <w:ilvl w:val="0"/>
          <w:numId w:val="5"/>
        </w:numPr>
        <w:tabs>
          <w:tab w:val="left" w:pos="360"/>
        </w:tabs>
        <w:spacing w:line="288" w:lineRule="auto"/>
        <w:rPr>
          <w:sz w:val="22"/>
          <w:szCs w:val="22"/>
        </w:rPr>
      </w:pPr>
      <w:r w:rsidRPr="006A1576">
        <w:rPr>
          <w:sz w:val="22"/>
          <w:szCs w:val="22"/>
        </w:rPr>
        <w:t>Подпомагане работата на</w:t>
      </w:r>
      <w:r w:rsidR="00F041A7" w:rsidRPr="006A1576">
        <w:rPr>
          <w:sz w:val="22"/>
          <w:szCs w:val="22"/>
        </w:rPr>
        <w:t xml:space="preserve"> управителните органи</w:t>
      </w:r>
      <w:r w:rsidR="00897DCE">
        <w:rPr>
          <w:sz w:val="22"/>
          <w:szCs w:val="22"/>
        </w:rPr>
        <w:t xml:space="preserve"> при изготвянето и публикуването на финансовите отчети.</w:t>
      </w:r>
    </w:p>
    <w:p w:rsidR="00897DCE" w:rsidRPr="006A1576" w:rsidRDefault="00897DCE" w:rsidP="009945A0">
      <w:pPr>
        <w:pStyle w:val="BodyText"/>
        <w:numPr>
          <w:ilvl w:val="0"/>
          <w:numId w:val="5"/>
        </w:numPr>
        <w:tabs>
          <w:tab w:val="left" w:pos="36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Дейности по привеждане на дейността на Спиди АД в съответствие с нормативните изисквания, регулиращи публичните дружества.</w:t>
      </w:r>
    </w:p>
    <w:p w:rsidR="00683403" w:rsidRPr="006A1576" w:rsidRDefault="00683403" w:rsidP="009945A0">
      <w:pPr>
        <w:pStyle w:val="BodyText"/>
        <w:tabs>
          <w:tab w:val="left" w:pos="360"/>
        </w:tabs>
        <w:spacing w:line="288" w:lineRule="auto"/>
        <w:rPr>
          <w:b/>
          <w:bCs/>
          <w:sz w:val="22"/>
          <w:szCs w:val="22"/>
        </w:rPr>
      </w:pPr>
    </w:p>
    <w:p w:rsidR="00F041A7" w:rsidRPr="006A1576" w:rsidRDefault="00897DCE" w:rsidP="009945A0">
      <w:pPr>
        <w:pStyle w:val="BodyText"/>
        <w:tabs>
          <w:tab w:val="left" w:pos="360"/>
        </w:tabs>
        <w:spacing w:line="288" w:lineRule="auto"/>
        <w:rPr>
          <w:b/>
          <w:bCs/>
          <w:sz w:val="22"/>
          <w:szCs w:val="22"/>
        </w:rPr>
      </w:pPr>
      <w:r w:rsidRPr="006A1576">
        <w:rPr>
          <w:b/>
          <w:bCs/>
          <w:sz w:val="22"/>
          <w:szCs w:val="22"/>
        </w:rPr>
        <w:t xml:space="preserve">Комуникация </w:t>
      </w:r>
      <w:r w:rsidR="00683403" w:rsidRPr="006A1576">
        <w:rPr>
          <w:b/>
          <w:bCs/>
          <w:sz w:val="22"/>
          <w:szCs w:val="22"/>
        </w:rPr>
        <w:t>с инвести</w:t>
      </w:r>
      <w:r w:rsidR="00864D1F" w:rsidRPr="006A1576">
        <w:rPr>
          <w:b/>
          <w:bCs/>
          <w:sz w:val="22"/>
          <w:szCs w:val="22"/>
        </w:rPr>
        <w:t>ционната общност</w:t>
      </w:r>
    </w:p>
    <w:p w:rsidR="00BC0E9C" w:rsidRPr="006A1576" w:rsidRDefault="00897DCE" w:rsidP="009945A0">
      <w:pPr>
        <w:pStyle w:val="BodyText"/>
        <w:tabs>
          <w:tab w:val="left" w:pos="360"/>
        </w:tabs>
        <w:spacing w:line="288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През 2012 г. Спиди АД направи важна крачка в своята дейност с придобиване на публичен статут на компанията и начало на борсовата търговия с акциите</w:t>
      </w:r>
      <w:r w:rsidR="00EB7110">
        <w:rPr>
          <w:bCs/>
          <w:sz w:val="22"/>
          <w:szCs w:val="22"/>
        </w:rPr>
        <w:t xml:space="preserve"> й, стартирала на 14.11.2012 г.</w:t>
      </w:r>
      <w:r>
        <w:rPr>
          <w:bCs/>
          <w:sz w:val="22"/>
          <w:szCs w:val="22"/>
        </w:rPr>
        <w:t>.</w:t>
      </w:r>
    </w:p>
    <w:p w:rsidR="00AD44DB" w:rsidRDefault="00897DCE" w:rsidP="009945A0">
      <w:pPr>
        <w:pStyle w:val="BodyText"/>
        <w:tabs>
          <w:tab w:val="left" w:pos="360"/>
        </w:tabs>
        <w:spacing w:line="288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Във връзка с това беше изготвен проспект на компанията, съдържащ подробна информация за нейната дейност - финансови данни, рисковете пред компанията и начините за тяхното управление, описание на дейността и основните проекти и други.</w:t>
      </w:r>
    </w:p>
    <w:p w:rsidR="00897DCE" w:rsidRDefault="00897DCE" w:rsidP="009945A0">
      <w:pPr>
        <w:pStyle w:val="BodyText"/>
        <w:tabs>
          <w:tab w:val="left" w:pos="360"/>
        </w:tabs>
        <w:spacing w:line="288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Във връзка с началото на публичното предлагане беше предприета широка кампания за запознаване на инвестиционната общост с дейността на Спиди АД и представянето й като атрактивна инвестиционна възможност. За целта бяха проведени:</w:t>
      </w:r>
    </w:p>
    <w:p w:rsidR="00897DCE" w:rsidRDefault="00897DCE" w:rsidP="00897DCE">
      <w:pPr>
        <w:pStyle w:val="BodyText"/>
        <w:numPr>
          <w:ilvl w:val="0"/>
          <w:numId w:val="22"/>
        </w:numPr>
        <w:tabs>
          <w:tab w:val="left" w:pos="360"/>
        </w:tabs>
        <w:spacing w:line="288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срещи с ключови институционални инвеститори, водещи пенсионни и договорни фондове;</w:t>
      </w:r>
    </w:p>
    <w:p w:rsidR="00897DCE" w:rsidRDefault="00897DCE" w:rsidP="00897DCE">
      <w:pPr>
        <w:pStyle w:val="BodyText"/>
        <w:numPr>
          <w:ilvl w:val="0"/>
          <w:numId w:val="22"/>
        </w:numPr>
        <w:tabs>
          <w:tab w:val="left" w:pos="360"/>
        </w:tabs>
        <w:spacing w:line="288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презентация за представяне н</w:t>
      </w:r>
      <w:r w:rsidR="00EB7110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 xml:space="preserve"> Спиди АД, на която бяха поканени водещи инвестиционни посредници, институционални инвеститори и медии;</w:t>
      </w:r>
    </w:p>
    <w:p w:rsidR="00897DCE" w:rsidRDefault="00897DCE" w:rsidP="00897DCE">
      <w:pPr>
        <w:pStyle w:val="BodyText"/>
        <w:numPr>
          <w:ilvl w:val="0"/>
          <w:numId w:val="22"/>
        </w:numPr>
        <w:tabs>
          <w:tab w:val="left" w:pos="360"/>
        </w:tabs>
        <w:spacing w:line="288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широка медийна кампания популяризираща началото на търговията с акциите на </w:t>
      </w:r>
      <w:r w:rsidR="00EB7110">
        <w:rPr>
          <w:bCs/>
          <w:sz w:val="22"/>
          <w:szCs w:val="22"/>
        </w:rPr>
        <w:t>д</w:t>
      </w:r>
      <w:r>
        <w:rPr>
          <w:bCs/>
          <w:sz w:val="22"/>
          <w:szCs w:val="22"/>
        </w:rPr>
        <w:t>ружеството.</w:t>
      </w:r>
    </w:p>
    <w:p w:rsidR="00281E13" w:rsidRDefault="00936451" w:rsidP="009945A0">
      <w:pPr>
        <w:pStyle w:val="BodyText"/>
        <w:tabs>
          <w:tab w:val="left" w:pos="360"/>
        </w:tabs>
        <w:spacing w:line="288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На инвеститорите бяха предоставени анализи и презентации, с цел информирането им за резулттите и дейността на компанията.</w:t>
      </w:r>
    </w:p>
    <w:p w:rsidR="00936451" w:rsidRPr="006A1576" w:rsidRDefault="00936451" w:rsidP="009945A0">
      <w:pPr>
        <w:pStyle w:val="BodyText"/>
        <w:tabs>
          <w:tab w:val="left" w:pos="360"/>
        </w:tabs>
        <w:spacing w:line="288" w:lineRule="auto"/>
        <w:rPr>
          <w:bCs/>
          <w:sz w:val="22"/>
          <w:szCs w:val="22"/>
        </w:rPr>
      </w:pPr>
    </w:p>
    <w:p w:rsidR="00AD44DB" w:rsidRPr="006A1576" w:rsidRDefault="00EB7110" w:rsidP="009945A0">
      <w:pPr>
        <w:pStyle w:val="BodyText"/>
        <w:tabs>
          <w:tab w:val="left" w:pos="360"/>
        </w:tabs>
        <w:spacing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Регулярно представяне на информация</w:t>
      </w:r>
      <w:r w:rsidR="00AD44DB" w:rsidRPr="006A1576">
        <w:rPr>
          <w:b/>
          <w:bCs/>
          <w:sz w:val="22"/>
          <w:szCs w:val="22"/>
        </w:rPr>
        <w:t xml:space="preserve"> за </w:t>
      </w:r>
      <w:r w:rsidR="00DA55F7">
        <w:rPr>
          <w:b/>
          <w:bCs/>
          <w:sz w:val="22"/>
          <w:szCs w:val="22"/>
        </w:rPr>
        <w:t>СПИДИ АД</w:t>
      </w:r>
      <w:r w:rsidR="00AD44DB" w:rsidRPr="006A1576">
        <w:rPr>
          <w:b/>
          <w:bCs/>
          <w:sz w:val="22"/>
          <w:szCs w:val="22"/>
        </w:rPr>
        <w:t xml:space="preserve"> – изчерпателна, достъпна, </w:t>
      </w:r>
      <w:r w:rsidR="00936451">
        <w:rPr>
          <w:b/>
          <w:bCs/>
          <w:sz w:val="22"/>
          <w:szCs w:val="22"/>
        </w:rPr>
        <w:t>навременна</w:t>
      </w:r>
      <w:r w:rsidR="00AD44DB" w:rsidRPr="006A1576">
        <w:rPr>
          <w:b/>
          <w:bCs/>
          <w:sz w:val="22"/>
          <w:szCs w:val="22"/>
        </w:rPr>
        <w:t xml:space="preserve"> </w:t>
      </w:r>
    </w:p>
    <w:p w:rsidR="00EB7110" w:rsidRDefault="003545BF" w:rsidP="009945A0">
      <w:pPr>
        <w:pStyle w:val="BodyText"/>
        <w:tabs>
          <w:tab w:val="left" w:pos="36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Спиди АД е вписано в регистъра на публичните дружества, воден от КФН,  на 19 Юли 2012 г. Като публична компания, дружеството следва да публикува информация за финансовите си резултати и съществени промени в дейността си. През периода бяха публикувани тримесечни отчети за третото и четвъртото тримесечие на 2012 г. на консолидирана и неконсолидирана база.</w:t>
      </w:r>
    </w:p>
    <w:p w:rsidR="006C7EC3" w:rsidRPr="00646007" w:rsidRDefault="006C7EC3" w:rsidP="009945A0">
      <w:pPr>
        <w:pStyle w:val="BodyText"/>
        <w:tabs>
          <w:tab w:val="left" w:pos="360"/>
        </w:tabs>
        <w:spacing w:line="288" w:lineRule="auto"/>
        <w:rPr>
          <w:sz w:val="22"/>
          <w:szCs w:val="22"/>
        </w:rPr>
      </w:pPr>
      <w:r w:rsidRPr="006A1576">
        <w:rPr>
          <w:sz w:val="22"/>
          <w:szCs w:val="22"/>
        </w:rPr>
        <w:t xml:space="preserve">Отчетите бяха изготвени, така че да предоставят точно и достоверно информацията за дружеството, както и да бъдат напълно изчерпателни </w:t>
      </w:r>
      <w:r w:rsidR="00897DCE">
        <w:rPr>
          <w:sz w:val="22"/>
          <w:szCs w:val="22"/>
        </w:rPr>
        <w:t>и информативни</w:t>
      </w:r>
      <w:r w:rsidR="002163F1">
        <w:rPr>
          <w:sz w:val="22"/>
          <w:szCs w:val="22"/>
        </w:rPr>
        <w:t xml:space="preserve"> и в съответствие с нормативните изисквания и добрите практики</w:t>
      </w:r>
      <w:r w:rsidRPr="006A1576">
        <w:rPr>
          <w:sz w:val="22"/>
          <w:szCs w:val="22"/>
        </w:rPr>
        <w:t xml:space="preserve">. Всички отчети </w:t>
      </w:r>
      <w:r w:rsidR="006B69F5">
        <w:rPr>
          <w:sz w:val="22"/>
          <w:szCs w:val="22"/>
        </w:rPr>
        <w:t xml:space="preserve">и съобщенията с чувствителна информация </w:t>
      </w:r>
      <w:r w:rsidRPr="006A1576">
        <w:rPr>
          <w:sz w:val="22"/>
          <w:szCs w:val="22"/>
        </w:rPr>
        <w:t xml:space="preserve">бяха публикувани на интернет страницата на </w:t>
      </w:r>
      <w:r w:rsidR="00DA55F7">
        <w:rPr>
          <w:sz w:val="22"/>
          <w:szCs w:val="22"/>
        </w:rPr>
        <w:t>СПИДИ АД</w:t>
      </w:r>
      <w:r w:rsidRPr="006A1576">
        <w:rPr>
          <w:sz w:val="22"/>
          <w:szCs w:val="22"/>
        </w:rPr>
        <w:t xml:space="preserve"> незабавно след публикуването им в бюлетина на </w:t>
      </w:r>
      <w:r w:rsidR="00897DCE">
        <w:rPr>
          <w:sz w:val="22"/>
          <w:szCs w:val="22"/>
          <w:lang w:val="en-US"/>
        </w:rPr>
        <w:t>X3news</w:t>
      </w:r>
      <w:r w:rsidR="000761C4">
        <w:rPr>
          <w:sz w:val="22"/>
          <w:szCs w:val="22"/>
        </w:rPr>
        <w:t>,</w:t>
      </w:r>
      <w:r w:rsidR="00502A4C">
        <w:rPr>
          <w:sz w:val="22"/>
          <w:szCs w:val="22"/>
        </w:rPr>
        <w:t xml:space="preserve"> КФН</w:t>
      </w:r>
      <w:r w:rsidR="000761C4">
        <w:rPr>
          <w:sz w:val="22"/>
          <w:szCs w:val="22"/>
        </w:rPr>
        <w:t xml:space="preserve"> и БФБ-София и </w:t>
      </w:r>
      <w:r w:rsidR="00646007">
        <w:rPr>
          <w:sz w:val="22"/>
          <w:szCs w:val="22"/>
        </w:rPr>
        <w:t>изпраща</w:t>
      </w:r>
      <w:r w:rsidR="000761C4">
        <w:rPr>
          <w:sz w:val="22"/>
          <w:szCs w:val="22"/>
        </w:rPr>
        <w:t>ни</w:t>
      </w:r>
      <w:r w:rsidR="00646007">
        <w:rPr>
          <w:sz w:val="22"/>
          <w:szCs w:val="22"/>
        </w:rPr>
        <w:t xml:space="preserve"> по електронна поща на инвеститори</w:t>
      </w:r>
      <w:r w:rsidR="006B69F5">
        <w:rPr>
          <w:sz w:val="22"/>
          <w:szCs w:val="22"/>
        </w:rPr>
        <w:t xml:space="preserve"> проявили интерес да получават информация</w:t>
      </w:r>
      <w:r w:rsidR="00646007">
        <w:rPr>
          <w:sz w:val="22"/>
          <w:szCs w:val="22"/>
        </w:rPr>
        <w:t>.</w:t>
      </w:r>
    </w:p>
    <w:p w:rsidR="00864D1F" w:rsidRPr="006A1576" w:rsidRDefault="003545BF" w:rsidP="009945A0">
      <w:pPr>
        <w:pStyle w:val="BodyText"/>
        <w:tabs>
          <w:tab w:val="left" w:pos="36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На интернет страницата на компнията беше създаден раздел за инвеститорите, където настоящити и потенциалните инвеститори могат да получат данни за финансовите отчети, проспекта на компанията и новини за съществени промени и новини.</w:t>
      </w:r>
    </w:p>
    <w:p w:rsidR="00571933" w:rsidRPr="006A1576" w:rsidRDefault="00571933" w:rsidP="009945A0">
      <w:pPr>
        <w:pStyle w:val="BodyText"/>
        <w:tabs>
          <w:tab w:val="left" w:pos="360"/>
        </w:tabs>
        <w:spacing w:line="288" w:lineRule="auto"/>
        <w:rPr>
          <w:bCs/>
          <w:sz w:val="22"/>
          <w:szCs w:val="22"/>
        </w:rPr>
      </w:pPr>
    </w:p>
    <w:p w:rsidR="00936451" w:rsidRDefault="00936451" w:rsidP="009945A0">
      <w:pPr>
        <w:pStyle w:val="BodyText"/>
        <w:tabs>
          <w:tab w:val="left" w:pos="360"/>
        </w:tabs>
        <w:spacing w:line="288" w:lineRule="auto"/>
        <w:rPr>
          <w:b/>
          <w:bCs/>
          <w:sz w:val="22"/>
          <w:szCs w:val="22"/>
        </w:rPr>
      </w:pPr>
    </w:p>
    <w:p w:rsidR="00936451" w:rsidRDefault="00936451" w:rsidP="009945A0">
      <w:pPr>
        <w:pStyle w:val="BodyText"/>
        <w:tabs>
          <w:tab w:val="left" w:pos="360"/>
        </w:tabs>
        <w:spacing w:line="288" w:lineRule="auto"/>
        <w:rPr>
          <w:b/>
          <w:bCs/>
          <w:sz w:val="22"/>
          <w:szCs w:val="22"/>
        </w:rPr>
      </w:pPr>
    </w:p>
    <w:p w:rsidR="00943597" w:rsidRDefault="00297F00" w:rsidP="009945A0">
      <w:pPr>
        <w:pStyle w:val="BodyText"/>
        <w:tabs>
          <w:tab w:val="left" w:pos="360"/>
        </w:tabs>
        <w:spacing w:line="288" w:lineRule="auto"/>
        <w:rPr>
          <w:b/>
          <w:bCs/>
          <w:sz w:val="22"/>
          <w:szCs w:val="22"/>
        </w:rPr>
      </w:pPr>
      <w:r w:rsidRPr="005A0927">
        <w:rPr>
          <w:b/>
          <w:bCs/>
          <w:sz w:val="22"/>
          <w:szCs w:val="22"/>
        </w:rPr>
        <w:t xml:space="preserve">Организиране на общо събрание на акционерите /ОСА/ </w:t>
      </w:r>
    </w:p>
    <w:p w:rsidR="00943597" w:rsidRDefault="00B603C4" w:rsidP="009945A0">
      <w:pPr>
        <w:pStyle w:val="BodyText"/>
        <w:tabs>
          <w:tab w:val="left" w:pos="36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През годината, общото събрание на акционерите на Спиди АД взе решения, целящи привеждане на дейността на компанията в съответствие с изискванията за публични</w:t>
      </w:r>
      <w:r w:rsidR="00943597" w:rsidRPr="00943597">
        <w:rPr>
          <w:sz w:val="22"/>
          <w:szCs w:val="22"/>
        </w:rPr>
        <w:t>.</w:t>
      </w:r>
      <w:r>
        <w:rPr>
          <w:sz w:val="22"/>
          <w:szCs w:val="22"/>
        </w:rPr>
        <w:t>дружества. на 07 Август в Търговския регистър беше вписан Данаил Данаилов в качеството му на независим член на съвета на директорите.</w:t>
      </w:r>
    </w:p>
    <w:p w:rsidR="00B603C4" w:rsidRDefault="00B603C4" w:rsidP="009945A0">
      <w:pPr>
        <w:pStyle w:val="BodyText"/>
        <w:tabs>
          <w:tab w:val="left" w:pos="36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На 15 Август влезе в сила нов устав на дружеството, който отговаря на изискванията на Закона за публичното предлагане на ценни книжа и актовете по прилагането му.</w:t>
      </w:r>
    </w:p>
    <w:p w:rsidR="00291E20" w:rsidRPr="00291E20" w:rsidRDefault="00291E20" w:rsidP="009945A0">
      <w:pPr>
        <w:pStyle w:val="BodyText"/>
        <w:tabs>
          <w:tab w:val="left" w:pos="36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На 18 Декември беше проведено извънрредно събрание на акционерите, на което беше избран нов одитор „Мур Стивънс Одит – България” и бяха прието промени в устава. Поканата за Общото събрание, заедно с материялите и взетите решения него беше публикувана в </w:t>
      </w:r>
      <w:r>
        <w:rPr>
          <w:sz w:val="22"/>
          <w:szCs w:val="22"/>
          <w:lang w:val="en-US"/>
        </w:rPr>
        <w:t>X3news</w:t>
      </w:r>
      <w:r>
        <w:rPr>
          <w:sz w:val="22"/>
          <w:szCs w:val="22"/>
        </w:rPr>
        <w:t xml:space="preserve"> и в ин</w:t>
      </w:r>
      <w:r w:rsidR="00936451">
        <w:rPr>
          <w:sz w:val="22"/>
          <w:szCs w:val="22"/>
        </w:rPr>
        <w:t>тернет сайта на Спиди АД.</w:t>
      </w:r>
    </w:p>
    <w:p w:rsidR="00F041A7" w:rsidRPr="001E6F92" w:rsidRDefault="00F041A7" w:rsidP="009945A0">
      <w:pPr>
        <w:pStyle w:val="BodyText"/>
        <w:tabs>
          <w:tab w:val="left" w:pos="360"/>
        </w:tabs>
        <w:spacing w:line="288" w:lineRule="auto"/>
        <w:rPr>
          <w:sz w:val="22"/>
          <w:szCs w:val="22"/>
        </w:rPr>
      </w:pPr>
    </w:p>
    <w:p w:rsidR="00F041A7" w:rsidRPr="006A1576" w:rsidRDefault="00ED039A" w:rsidP="009945A0">
      <w:pPr>
        <w:pStyle w:val="BodyText"/>
        <w:tabs>
          <w:tab w:val="left" w:pos="360"/>
        </w:tabs>
        <w:spacing w:line="288" w:lineRule="auto"/>
        <w:rPr>
          <w:b/>
          <w:bCs/>
          <w:sz w:val="22"/>
          <w:szCs w:val="22"/>
        </w:rPr>
      </w:pPr>
      <w:r w:rsidRPr="006A1576">
        <w:rPr>
          <w:b/>
          <w:bCs/>
          <w:sz w:val="22"/>
          <w:szCs w:val="22"/>
        </w:rPr>
        <w:t>Административно обслужване</w:t>
      </w:r>
      <w:r w:rsidR="00F041A7" w:rsidRPr="006A1576">
        <w:rPr>
          <w:b/>
          <w:bCs/>
          <w:sz w:val="22"/>
          <w:szCs w:val="22"/>
        </w:rPr>
        <w:t xml:space="preserve"> на управителните органи</w:t>
      </w:r>
    </w:p>
    <w:p w:rsidR="00F041A7" w:rsidRPr="006A1576" w:rsidRDefault="00F041A7" w:rsidP="009945A0">
      <w:pPr>
        <w:pStyle w:val="BodyText"/>
        <w:tabs>
          <w:tab w:val="left" w:pos="360"/>
        </w:tabs>
        <w:spacing w:line="288" w:lineRule="auto"/>
        <w:rPr>
          <w:sz w:val="22"/>
          <w:szCs w:val="22"/>
        </w:rPr>
      </w:pPr>
      <w:r w:rsidRPr="006A1576">
        <w:rPr>
          <w:sz w:val="22"/>
          <w:szCs w:val="22"/>
        </w:rPr>
        <w:t>През 20</w:t>
      </w:r>
      <w:r w:rsidR="00B9755B">
        <w:rPr>
          <w:sz w:val="22"/>
          <w:szCs w:val="22"/>
        </w:rPr>
        <w:t>1</w:t>
      </w:r>
      <w:r w:rsidR="002163F1">
        <w:rPr>
          <w:sz w:val="22"/>
          <w:szCs w:val="22"/>
          <w:lang w:val="ru-RU"/>
        </w:rPr>
        <w:t>2</w:t>
      </w:r>
      <w:r w:rsidR="004E1C01" w:rsidRPr="006A1576">
        <w:rPr>
          <w:sz w:val="22"/>
          <w:szCs w:val="22"/>
          <w:lang w:val="ru-RU"/>
        </w:rPr>
        <w:t xml:space="preserve"> </w:t>
      </w:r>
      <w:r w:rsidRPr="006A1576">
        <w:rPr>
          <w:sz w:val="22"/>
          <w:szCs w:val="22"/>
        </w:rPr>
        <w:t>година всички заседания на Управителния и Надзорния съвет са свиквани съгласно изискванията н</w:t>
      </w:r>
      <w:r w:rsidR="002163F1">
        <w:rPr>
          <w:sz w:val="22"/>
          <w:szCs w:val="22"/>
        </w:rPr>
        <w:t>а законовите и вътрешни норми</w:t>
      </w:r>
      <w:r w:rsidRPr="006A1576">
        <w:rPr>
          <w:sz w:val="22"/>
          <w:szCs w:val="22"/>
        </w:rPr>
        <w:t>. Поканите с дневния ред, придружени от материали към него са изпращани в срок до всички членове. Протоколите от заседанията са водени и се съхраняват надлежно.</w:t>
      </w:r>
    </w:p>
    <w:p w:rsidR="00F041A7" w:rsidRPr="006A1576" w:rsidRDefault="00F041A7" w:rsidP="009945A0">
      <w:pPr>
        <w:pStyle w:val="BodyText"/>
        <w:tabs>
          <w:tab w:val="left" w:pos="360"/>
        </w:tabs>
        <w:spacing w:line="288" w:lineRule="auto"/>
        <w:rPr>
          <w:b/>
          <w:bCs/>
          <w:sz w:val="22"/>
          <w:szCs w:val="22"/>
        </w:rPr>
      </w:pPr>
    </w:p>
    <w:p w:rsidR="002416A8" w:rsidRPr="006A1576" w:rsidRDefault="002163F1" w:rsidP="009945A0">
      <w:pPr>
        <w:pStyle w:val="BodyText"/>
        <w:tabs>
          <w:tab w:val="left" w:pos="360"/>
        </w:tabs>
        <w:spacing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Административна дейност</w:t>
      </w:r>
    </w:p>
    <w:p w:rsidR="00F041A7" w:rsidRDefault="002163F1" w:rsidP="009945A0">
      <w:pPr>
        <w:pStyle w:val="BodyText2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Като публична компания, Спиди АД следва да спазва широк спектър от правила и процедури, гарантиращи интересите на инвеститорите и оповестяването на информация. За срока </w:t>
      </w:r>
      <w:r w:rsidR="00936451">
        <w:rPr>
          <w:sz w:val="22"/>
          <w:szCs w:val="22"/>
        </w:rPr>
        <w:t>след</w:t>
      </w:r>
      <w:r>
        <w:rPr>
          <w:sz w:val="22"/>
          <w:szCs w:val="22"/>
        </w:rPr>
        <w:t xml:space="preserve"> вписването на компанията като публична, бяха предприети действия по привеждане на дейността в съответствие с нормативните изисквания, като промяна на устава, промяна в състава на съвета на директорите, въвеждане на нови процедури за свикването и провеждането на засеганията на съвета на директорите и на общото събрание на акционерите, за неразпространение на вътрешна информация и предотвратяване на конфликт на интереси, правила за разкриване на информация и др.</w:t>
      </w:r>
    </w:p>
    <w:p w:rsidR="002163F1" w:rsidRPr="006A1576" w:rsidRDefault="002163F1" w:rsidP="009945A0">
      <w:pPr>
        <w:pStyle w:val="BodyText2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Непрекъснато се следи за наличието на законови промении предприемането на действия по тяхното отрзяване.</w:t>
      </w:r>
    </w:p>
    <w:p w:rsidR="00F041A7" w:rsidRPr="006A1576" w:rsidRDefault="00F041A7" w:rsidP="009945A0">
      <w:pPr>
        <w:pStyle w:val="BodyText"/>
        <w:tabs>
          <w:tab w:val="left" w:pos="360"/>
        </w:tabs>
        <w:spacing w:line="288" w:lineRule="auto"/>
        <w:rPr>
          <w:sz w:val="22"/>
          <w:szCs w:val="22"/>
        </w:rPr>
      </w:pPr>
    </w:p>
    <w:p w:rsidR="00F041A7" w:rsidRPr="000761C4" w:rsidRDefault="00F041A7" w:rsidP="009945A0">
      <w:pPr>
        <w:pStyle w:val="BodyText"/>
        <w:tabs>
          <w:tab w:val="left" w:pos="360"/>
        </w:tabs>
        <w:spacing w:line="288" w:lineRule="auto"/>
        <w:rPr>
          <w:b/>
          <w:bCs/>
          <w:sz w:val="22"/>
          <w:szCs w:val="22"/>
          <w:lang w:val="ru-RU"/>
        </w:rPr>
      </w:pPr>
      <w:r w:rsidRPr="006A1576">
        <w:rPr>
          <w:b/>
          <w:bCs/>
          <w:sz w:val="22"/>
          <w:szCs w:val="22"/>
        </w:rPr>
        <w:t>Перспективи за 20</w:t>
      </w:r>
      <w:r w:rsidR="0065738C">
        <w:rPr>
          <w:b/>
          <w:bCs/>
          <w:sz w:val="22"/>
          <w:szCs w:val="22"/>
        </w:rPr>
        <w:t>1</w:t>
      </w:r>
      <w:r w:rsidR="003545BF">
        <w:rPr>
          <w:b/>
          <w:bCs/>
          <w:sz w:val="22"/>
          <w:szCs w:val="22"/>
        </w:rPr>
        <w:t>3</w:t>
      </w:r>
    </w:p>
    <w:p w:rsidR="003545BF" w:rsidRDefault="00151513" w:rsidP="009945A0">
      <w:pPr>
        <w:pStyle w:val="BodyText"/>
        <w:tabs>
          <w:tab w:val="left" w:pos="360"/>
        </w:tabs>
        <w:spacing w:line="288" w:lineRule="auto"/>
        <w:rPr>
          <w:sz w:val="22"/>
          <w:szCs w:val="22"/>
        </w:rPr>
      </w:pPr>
      <w:r w:rsidRPr="006A1576">
        <w:rPr>
          <w:sz w:val="22"/>
          <w:szCs w:val="22"/>
        </w:rPr>
        <w:t xml:space="preserve">Дейността по връзки с инвеститорите ще бъде насочена към </w:t>
      </w:r>
      <w:r w:rsidR="002416A8" w:rsidRPr="006A1576">
        <w:rPr>
          <w:sz w:val="22"/>
          <w:szCs w:val="22"/>
        </w:rPr>
        <w:t xml:space="preserve">поддържане на коректните взаимоотношения с инвестиционната общност и поддържане на дейността в съответствие с </w:t>
      </w:r>
      <w:r w:rsidRPr="006A1576">
        <w:rPr>
          <w:sz w:val="22"/>
          <w:szCs w:val="22"/>
        </w:rPr>
        <w:t>най-</w:t>
      </w:r>
      <w:r w:rsidR="00A3428B" w:rsidRPr="006A1576">
        <w:rPr>
          <w:sz w:val="22"/>
          <w:szCs w:val="22"/>
        </w:rPr>
        <w:t>добрите и съвременни</w:t>
      </w:r>
      <w:r w:rsidRPr="006A1576">
        <w:rPr>
          <w:sz w:val="22"/>
          <w:szCs w:val="22"/>
        </w:rPr>
        <w:t xml:space="preserve"> </w:t>
      </w:r>
      <w:r w:rsidR="00F041A7" w:rsidRPr="006A1576">
        <w:rPr>
          <w:sz w:val="22"/>
          <w:szCs w:val="22"/>
        </w:rPr>
        <w:t xml:space="preserve">международни </w:t>
      </w:r>
      <w:r w:rsidR="00A3428B" w:rsidRPr="006A1576">
        <w:rPr>
          <w:sz w:val="22"/>
          <w:szCs w:val="22"/>
        </w:rPr>
        <w:t>практики в областта на връзки с инвеститорите</w:t>
      </w:r>
      <w:r w:rsidR="003545BF">
        <w:rPr>
          <w:sz w:val="22"/>
          <w:szCs w:val="22"/>
        </w:rPr>
        <w:t>.</w:t>
      </w:r>
    </w:p>
    <w:p w:rsidR="00F041A7" w:rsidRDefault="003545BF" w:rsidP="009945A0">
      <w:pPr>
        <w:pStyle w:val="BodyText"/>
        <w:tabs>
          <w:tab w:val="left" w:pos="36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Предвижда да бъде разширена секцията за инвеститорите, </w:t>
      </w:r>
      <w:r w:rsidR="00F305C0">
        <w:rPr>
          <w:sz w:val="22"/>
          <w:szCs w:val="22"/>
        </w:rPr>
        <w:t xml:space="preserve">като се добави допълнителна информация за компанията. </w:t>
      </w:r>
    </w:p>
    <w:p w:rsidR="00F305C0" w:rsidRPr="006A1576" w:rsidRDefault="00F305C0" w:rsidP="009945A0">
      <w:pPr>
        <w:pStyle w:val="BodyText"/>
        <w:tabs>
          <w:tab w:val="left" w:pos="36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Предстои да бъде приета от Спиди АД програма за добро корпоративно управление, която да утвърди най-добрите практики за управление</w:t>
      </w:r>
      <w:r w:rsidR="00936451">
        <w:rPr>
          <w:sz w:val="22"/>
          <w:szCs w:val="22"/>
        </w:rPr>
        <w:t xml:space="preserve"> в интерес</w:t>
      </w:r>
      <w:r>
        <w:rPr>
          <w:sz w:val="22"/>
          <w:szCs w:val="22"/>
        </w:rPr>
        <w:t xml:space="preserve"> на инвеститорите в компанията.</w:t>
      </w:r>
    </w:p>
    <w:p w:rsidR="00F041A7" w:rsidRDefault="00F041A7" w:rsidP="009945A0">
      <w:pPr>
        <w:pStyle w:val="BodyText2"/>
        <w:spacing w:line="288" w:lineRule="auto"/>
        <w:rPr>
          <w:sz w:val="22"/>
          <w:szCs w:val="22"/>
        </w:rPr>
      </w:pPr>
    </w:p>
    <w:p w:rsidR="003A06D9" w:rsidRDefault="003A06D9" w:rsidP="009945A0">
      <w:pPr>
        <w:pStyle w:val="BodyText2"/>
        <w:spacing w:line="288" w:lineRule="auto"/>
        <w:rPr>
          <w:sz w:val="22"/>
          <w:szCs w:val="22"/>
        </w:rPr>
      </w:pPr>
    </w:p>
    <w:p w:rsidR="002163F1" w:rsidRDefault="002163F1" w:rsidP="009945A0">
      <w:pPr>
        <w:pStyle w:val="BodyText2"/>
        <w:spacing w:line="288" w:lineRule="auto"/>
        <w:rPr>
          <w:sz w:val="22"/>
          <w:szCs w:val="22"/>
        </w:rPr>
      </w:pPr>
    </w:p>
    <w:p w:rsidR="00F529D6" w:rsidRPr="006A1576" w:rsidRDefault="003A06D9" w:rsidP="009945A0">
      <w:pPr>
        <w:pStyle w:val="BodyText2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Април</w:t>
      </w:r>
      <w:r w:rsidR="00F041A7" w:rsidRPr="006A1576">
        <w:rPr>
          <w:sz w:val="22"/>
          <w:szCs w:val="22"/>
        </w:rPr>
        <w:t xml:space="preserve"> 20</w:t>
      </w:r>
      <w:r w:rsidR="0065738C">
        <w:rPr>
          <w:sz w:val="22"/>
          <w:szCs w:val="22"/>
        </w:rPr>
        <w:t>1</w:t>
      </w:r>
      <w:r w:rsidR="003545BF">
        <w:rPr>
          <w:sz w:val="22"/>
          <w:szCs w:val="22"/>
        </w:rPr>
        <w:t>3</w:t>
      </w:r>
      <w:r w:rsidR="00F041A7" w:rsidRPr="006A1576">
        <w:rPr>
          <w:sz w:val="22"/>
          <w:szCs w:val="22"/>
        </w:rPr>
        <w:tab/>
      </w:r>
      <w:r w:rsidR="00F041A7" w:rsidRPr="006A1576">
        <w:rPr>
          <w:sz w:val="22"/>
          <w:szCs w:val="22"/>
        </w:rPr>
        <w:tab/>
      </w:r>
      <w:r w:rsidR="00F041A7" w:rsidRPr="006A1576">
        <w:rPr>
          <w:sz w:val="22"/>
          <w:szCs w:val="22"/>
        </w:rPr>
        <w:tab/>
      </w:r>
      <w:r w:rsidR="00F041A7" w:rsidRPr="006A1576">
        <w:rPr>
          <w:sz w:val="22"/>
          <w:szCs w:val="22"/>
        </w:rPr>
        <w:tab/>
      </w:r>
      <w:r w:rsidR="0076309D">
        <w:rPr>
          <w:sz w:val="22"/>
          <w:szCs w:val="22"/>
        </w:rPr>
        <w:tab/>
      </w:r>
      <w:r w:rsidR="0076309D">
        <w:rPr>
          <w:sz w:val="22"/>
          <w:szCs w:val="22"/>
        </w:rPr>
        <w:tab/>
      </w:r>
      <w:r w:rsidR="003545BF">
        <w:rPr>
          <w:sz w:val="22"/>
          <w:szCs w:val="22"/>
        </w:rPr>
        <w:t>Кразимир Тахчиев</w:t>
      </w:r>
    </w:p>
    <w:p w:rsidR="00F041A7" w:rsidRPr="006A1576" w:rsidRDefault="00F041A7" w:rsidP="009945A0">
      <w:pPr>
        <w:pStyle w:val="BodyText2"/>
        <w:spacing w:line="288" w:lineRule="auto"/>
        <w:ind w:left="4320" w:firstLine="720"/>
        <w:rPr>
          <w:sz w:val="22"/>
          <w:szCs w:val="22"/>
        </w:rPr>
      </w:pPr>
      <w:r w:rsidRPr="006A1576">
        <w:rPr>
          <w:sz w:val="22"/>
          <w:szCs w:val="22"/>
        </w:rPr>
        <w:t>Директор за Връзки с инвеститорите</w:t>
      </w:r>
      <w:r w:rsidRPr="006A1576">
        <w:rPr>
          <w:sz w:val="22"/>
          <w:szCs w:val="22"/>
        </w:rPr>
        <w:tab/>
      </w:r>
      <w:r w:rsidRPr="006A1576">
        <w:rPr>
          <w:sz w:val="22"/>
          <w:szCs w:val="22"/>
        </w:rPr>
        <w:tab/>
      </w:r>
      <w:r w:rsidRPr="006A1576">
        <w:rPr>
          <w:sz w:val="22"/>
          <w:szCs w:val="22"/>
        </w:rPr>
        <w:tab/>
      </w:r>
      <w:r w:rsidRPr="006A1576">
        <w:rPr>
          <w:sz w:val="22"/>
          <w:szCs w:val="22"/>
        </w:rPr>
        <w:tab/>
      </w:r>
      <w:r w:rsidRPr="006A1576">
        <w:rPr>
          <w:sz w:val="22"/>
          <w:szCs w:val="22"/>
        </w:rPr>
        <w:tab/>
      </w:r>
      <w:r w:rsidRPr="006A1576">
        <w:rPr>
          <w:sz w:val="22"/>
          <w:szCs w:val="22"/>
        </w:rPr>
        <w:tab/>
      </w:r>
      <w:r w:rsidRPr="006A1576">
        <w:rPr>
          <w:sz w:val="22"/>
          <w:szCs w:val="22"/>
        </w:rPr>
        <w:tab/>
      </w:r>
    </w:p>
    <w:sectPr w:rsidR="00F041A7" w:rsidRPr="006A1576" w:rsidSect="00CA29F2">
      <w:headerReference w:type="default" r:id="rId7"/>
      <w:footerReference w:type="even" r:id="rId8"/>
      <w:footerReference w:type="default" r:id="rId9"/>
      <w:pgSz w:w="11906" w:h="16838"/>
      <w:pgMar w:top="1618" w:right="566" w:bottom="540" w:left="1080" w:header="36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3B" w:rsidRDefault="00CE4E3B">
      <w:r>
        <w:separator/>
      </w:r>
    </w:p>
  </w:endnote>
  <w:endnote w:type="continuationSeparator" w:id="0">
    <w:p w:rsidR="00CE4E3B" w:rsidRDefault="00CE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7B" w:rsidRDefault="001A07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B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B7B">
      <w:rPr>
        <w:rStyle w:val="PageNumber"/>
        <w:noProof/>
      </w:rPr>
      <w:t>3</w:t>
    </w:r>
    <w:r>
      <w:rPr>
        <w:rStyle w:val="PageNumber"/>
      </w:rPr>
      <w:fldChar w:fldCharType="end"/>
    </w:r>
  </w:p>
  <w:p w:rsidR="009F2B7B" w:rsidRDefault="009F2B7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7B" w:rsidRDefault="009F2B7B">
    <w:pPr>
      <w:pStyle w:val="Footer"/>
      <w:framePr w:wrap="around" w:vAnchor="text" w:hAnchor="margin" w:xAlign="right" w:y="1"/>
      <w:rPr>
        <w:rStyle w:val="PageNumber"/>
      </w:rPr>
    </w:pPr>
  </w:p>
  <w:p w:rsidR="009F2B7B" w:rsidRPr="003545BF" w:rsidRDefault="009F2B7B" w:rsidP="003545BF">
    <w:pPr>
      <w:pStyle w:val="Footer"/>
      <w:pBdr>
        <w:top w:val="single" w:sz="4" w:space="1" w:color="auto"/>
      </w:pBdr>
      <w:ind w:right="360"/>
      <w:jc w:val="center"/>
      <w:rPr>
        <w:rFonts w:ascii="Arial Black" w:hAnsi="Arial Black"/>
        <w:color w:val="999999"/>
        <w:sz w:val="16"/>
        <w:lang w:val="bg-BG"/>
      </w:rPr>
    </w:pPr>
    <w:proofErr w:type="spellStart"/>
    <w:proofErr w:type="gramStart"/>
    <w:r>
      <w:rPr>
        <w:rFonts w:ascii="Arial Black" w:hAnsi="Arial Black" w:cs="Arial"/>
        <w:color w:val="999999"/>
        <w:sz w:val="16"/>
      </w:rPr>
      <w:t>стр</w:t>
    </w:r>
    <w:proofErr w:type="spellEnd"/>
    <w:proofErr w:type="gramEnd"/>
    <w:r>
      <w:rPr>
        <w:rFonts w:ascii="Arial Black" w:hAnsi="Arial Black" w:cs="Arial"/>
        <w:color w:val="999999"/>
        <w:sz w:val="16"/>
      </w:rPr>
      <w:t xml:space="preserve">. </w:t>
    </w:r>
    <w:r w:rsidR="001A0790">
      <w:rPr>
        <w:rStyle w:val="PageNumber"/>
        <w:rFonts w:ascii="Arial Black" w:hAnsi="Arial Black"/>
        <w:color w:val="999999"/>
        <w:sz w:val="16"/>
      </w:rPr>
      <w:fldChar w:fldCharType="begin"/>
    </w:r>
    <w:r>
      <w:rPr>
        <w:rStyle w:val="PageNumber"/>
        <w:rFonts w:ascii="Arial Black" w:hAnsi="Arial Black"/>
        <w:color w:val="999999"/>
        <w:sz w:val="16"/>
      </w:rPr>
      <w:instrText xml:space="preserve"> PAGE </w:instrText>
    </w:r>
    <w:r w:rsidR="001A0790">
      <w:rPr>
        <w:rStyle w:val="PageNumber"/>
        <w:rFonts w:ascii="Arial Black" w:hAnsi="Arial Black"/>
        <w:color w:val="999999"/>
        <w:sz w:val="16"/>
      </w:rPr>
      <w:fldChar w:fldCharType="separate"/>
    </w:r>
    <w:r w:rsidR="00936451">
      <w:rPr>
        <w:rStyle w:val="PageNumber"/>
        <w:rFonts w:ascii="Arial Black" w:hAnsi="Arial Black"/>
        <w:noProof/>
        <w:color w:val="999999"/>
        <w:sz w:val="16"/>
      </w:rPr>
      <w:t>3</w:t>
    </w:r>
    <w:r w:rsidR="001A0790">
      <w:rPr>
        <w:rStyle w:val="PageNumber"/>
        <w:rFonts w:ascii="Arial Black" w:hAnsi="Arial Black"/>
        <w:color w:val="999999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3B" w:rsidRDefault="00CE4E3B">
      <w:r>
        <w:separator/>
      </w:r>
    </w:p>
  </w:footnote>
  <w:footnote w:type="continuationSeparator" w:id="0">
    <w:p w:rsidR="00CE4E3B" w:rsidRDefault="00CE4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7B" w:rsidRDefault="009F2B7B" w:rsidP="00E0609B">
    <w:pPr>
      <w:pStyle w:val="Header"/>
      <w:ind w:right="-283"/>
      <w:rPr>
        <w:lang w:val="bg-BG"/>
      </w:rPr>
    </w:pPr>
  </w:p>
  <w:p w:rsidR="009F2B7B" w:rsidRDefault="009F2B7B" w:rsidP="00E0609B">
    <w:pPr>
      <w:pStyle w:val="Header"/>
      <w:ind w:right="-283"/>
      <w:rPr>
        <w:lang w:val="bg-BG"/>
      </w:rPr>
    </w:pPr>
  </w:p>
  <w:p w:rsidR="009F2B7B" w:rsidRPr="00E0609B" w:rsidRDefault="009F2B7B" w:rsidP="00E0609B">
    <w:pPr>
      <w:pStyle w:val="Header"/>
      <w:ind w:right="-283"/>
      <w:rPr>
        <w:rFonts w:ascii="Arial Black" w:hAnsi="Arial Black"/>
        <w:lang w:val="bg-BG"/>
      </w:rPr>
    </w:pPr>
    <w:r>
      <w:rPr>
        <w:rFonts w:ascii="Arial Black" w:hAnsi="Arial Black" w:cs="Arial"/>
        <w:sz w:val="16"/>
      </w:rPr>
      <w:tab/>
    </w:r>
    <w:r w:rsidRPr="00E0609B">
      <w:rPr>
        <w:rFonts w:ascii="Arial Black" w:hAnsi="Arial Black"/>
        <w:color w:val="999999"/>
      </w:rPr>
      <w:t>............................................................................</w:t>
    </w:r>
    <w:r>
      <w:rPr>
        <w:rFonts w:ascii="Arial Black" w:hAnsi="Arial Black"/>
        <w:color w:val="999999"/>
        <w:lang w:val="bg-BG"/>
      </w:rPr>
      <w:t>.............</w:t>
    </w:r>
    <w:r w:rsidRPr="00E0609B">
      <w:rPr>
        <w:rFonts w:ascii="Arial Black" w:hAnsi="Arial Black"/>
        <w:color w:val="999999"/>
      </w:rPr>
      <w:t>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8AB"/>
    <w:multiLevelType w:val="hybridMultilevel"/>
    <w:tmpl w:val="106A3898"/>
    <w:lvl w:ilvl="0" w:tplc="EE90A568">
      <w:start w:val="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046EC"/>
    <w:multiLevelType w:val="hybridMultilevel"/>
    <w:tmpl w:val="31EED9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84F1C"/>
    <w:multiLevelType w:val="multilevel"/>
    <w:tmpl w:val="106A3898"/>
    <w:lvl w:ilvl="0">
      <w:start w:val="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B5E50"/>
    <w:multiLevelType w:val="multilevel"/>
    <w:tmpl w:val="BB96D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84801"/>
    <w:multiLevelType w:val="hybridMultilevel"/>
    <w:tmpl w:val="37DAF3C4"/>
    <w:lvl w:ilvl="0" w:tplc="C2F4856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2B4DF1"/>
    <w:multiLevelType w:val="multilevel"/>
    <w:tmpl w:val="0D2A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8379F"/>
    <w:multiLevelType w:val="hybridMultilevel"/>
    <w:tmpl w:val="37DAF3C4"/>
    <w:lvl w:ilvl="0" w:tplc="04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B46A2"/>
    <w:multiLevelType w:val="hybridMultilevel"/>
    <w:tmpl w:val="0D2A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FF0AEB"/>
    <w:multiLevelType w:val="hybridMultilevel"/>
    <w:tmpl w:val="1A3E43FA"/>
    <w:lvl w:ilvl="0" w:tplc="2DAC6FBA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9">
    <w:nsid w:val="30795E97"/>
    <w:multiLevelType w:val="hybridMultilevel"/>
    <w:tmpl w:val="24B239E0"/>
    <w:lvl w:ilvl="0" w:tplc="2DAC6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411B6F"/>
    <w:multiLevelType w:val="hybridMultilevel"/>
    <w:tmpl w:val="0F64B664"/>
    <w:lvl w:ilvl="0" w:tplc="13F4E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40067E"/>
    <w:multiLevelType w:val="hybridMultilevel"/>
    <w:tmpl w:val="68424BE2"/>
    <w:lvl w:ilvl="0" w:tplc="688C1E76">
      <w:start w:val="1"/>
      <w:numFmt w:val="bullet"/>
      <w:lvlText w:val=""/>
      <w:lvlJc w:val="left"/>
      <w:pPr>
        <w:tabs>
          <w:tab w:val="num" w:pos="455"/>
        </w:tabs>
        <w:ind w:left="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7744B6"/>
    <w:multiLevelType w:val="hybridMultilevel"/>
    <w:tmpl w:val="736E9DB4"/>
    <w:lvl w:ilvl="0" w:tplc="DD10546E">
      <w:start w:val="1"/>
      <w:numFmt w:val="bullet"/>
      <w:lvlText w:val=""/>
      <w:lvlJc w:val="left"/>
      <w:pPr>
        <w:tabs>
          <w:tab w:val="num" w:pos="455"/>
        </w:tabs>
        <w:ind w:left="4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3">
    <w:nsid w:val="3E21449D"/>
    <w:multiLevelType w:val="hybridMultilevel"/>
    <w:tmpl w:val="AF12C6E0"/>
    <w:lvl w:ilvl="0" w:tplc="DCA08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8C1E7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12A05"/>
    <w:multiLevelType w:val="hybridMultilevel"/>
    <w:tmpl w:val="8A9E60D0"/>
    <w:lvl w:ilvl="0" w:tplc="688C1E76">
      <w:start w:val="1"/>
      <w:numFmt w:val="bullet"/>
      <w:lvlText w:val=""/>
      <w:lvlJc w:val="left"/>
      <w:pPr>
        <w:tabs>
          <w:tab w:val="num" w:pos="815"/>
        </w:tabs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BA0391"/>
    <w:multiLevelType w:val="hybridMultilevel"/>
    <w:tmpl w:val="2708E4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3F5F60"/>
    <w:multiLevelType w:val="hybridMultilevel"/>
    <w:tmpl w:val="A9DCF3E4"/>
    <w:lvl w:ilvl="0" w:tplc="67EE6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E64138"/>
    <w:multiLevelType w:val="hybridMultilevel"/>
    <w:tmpl w:val="9C7E21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15294E"/>
    <w:multiLevelType w:val="hybridMultilevel"/>
    <w:tmpl w:val="736E9DB4"/>
    <w:lvl w:ilvl="0" w:tplc="688C1E76">
      <w:start w:val="1"/>
      <w:numFmt w:val="bullet"/>
      <w:lvlText w:val=""/>
      <w:lvlJc w:val="left"/>
      <w:pPr>
        <w:tabs>
          <w:tab w:val="num" w:pos="455"/>
        </w:tabs>
        <w:ind w:left="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9">
    <w:nsid w:val="6C943D36"/>
    <w:multiLevelType w:val="hybridMultilevel"/>
    <w:tmpl w:val="EA1CDF60"/>
    <w:lvl w:ilvl="0" w:tplc="197AC1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BB2467"/>
    <w:multiLevelType w:val="hybridMultilevel"/>
    <w:tmpl w:val="AF12C6E0"/>
    <w:lvl w:ilvl="0" w:tplc="DCA08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7E6B8B"/>
    <w:multiLevelType w:val="hybridMultilevel"/>
    <w:tmpl w:val="9B1AA768"/>
    <w:lvl w:ilvl="0" w:tplc="A1D610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1"/>
  </w:num>
  <w:num w:numId="5">
    <w:abstractNumId w:val="14"/>
  </w:num>
  <w:num w:numId="6">
    <w:abstractNumId w:val="10"/>
  </w:num>
  <w:num w:numId="7">
    <w:abstractNumId w:val="20"/>
  </w:num>
  <w:num w:numId="8">
    <w:abstractNumId w:val="16"/>
  </w:num>
  <w:num w:numId="9">
    <w:abstractNumId w:val="4"/>
  </w:num>
  <w:num w:numId="10">
    <w:abstractNumId w:val="6"/>
  </w:num>
  <w:num w:numId="11">
    <w:abstractNumId w:val="0"/>
  </w:num>
  <w:num w:numId="12">
    <w:abstractNumId w:val="19"/>
  </w:num>
  <w:num w:numId="13">
    <w:abstractNumId w:val="2"/>
  </w:num>
  <w:num w:numId="14">
    <w:abstractNumId w:val="9"/>
  </w:num>
  <w:num w:numId="15">
    <w:abstractNumId w:val="8"/>
  </w:num>
  <w:num w:numId="16">
    <w:abstractNumId w:val="15"/>
  </w:num>
  <w:num w:numId="17">
    <w:abstractNumId w:val="1"/>
  </w:num>
  <w:num w:numId="18">
    <w:abstractNumId w:val="7"/>
  </w:num>
  <w:num w:numId="19">
    <w:abstractNumId w:val="5"/>
  </w:num>
  <w:num w:numId="20">
    <w:abstractNumId w:val="17"/>
  </w:num>
  <w:num w:numId="21">
    <w:abstractNumId w:val="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DBD"/>
    <w:rsid w:val="000049AF"/>
    <w:rsid w:val="00041636"/>
    <w:rsid w:val="00054CE7"/>
    <w:rsid w:val="000615F9"/>
    <w:rsid w:val="00072FF2"/>
    <w:rsid w:val="000761C4"/>
    <w:rsid w:val="00081B6A"/>
    <w:rsid w:val="00087C41"/>
    <w:rsid w:val="000A2C7E"/>
    <w:rsid w:val="000D6311"/>
    <w:rsid w:val="000E31B4"/>
    <w:rsid w:val="000E5BCE"/>
    <w:rsid w:val="000F4F56"/>
    <w:rsid w:val="000F6461"/>
    <w:rsid w:val="00122A7A"/>
    <w:rsid w:val="00151513"/>
    <w:rsid w:val="0018460F"/>
    <w:rsid w:val="001949C0"/>
    <w:rsid w:val="00197110"/>
    <w:rsid w:val="001A0790"/>
    <w:rsid w:val="001A7F61"/>
    <w:rsid w:val="001B0CB3"/>
    <w:rsid w:val="001B40FD"/>
    <w:rsid w:val="001C2F65"/>
    <w:rsid w:val="001D56E1"/>
    <w:rsid w:val="001E6F92"/>
    <w:rsid w:val="002163F1"/>
    <w:rsid w:val="0023485C"/>
    <w:rsid w:val="002416A8"/>
    <w:rsid w:val="00260192"/>
    <w:rsid w:val="00280DAC"/>
    <w:rsid w:val="00281E13"/>
    <w:rsid w:val="00287482"/>
    <w:rsid w:val="00291E20"/>
    <w:rsid w:val="00297F00"/>
    <w:rsid w:val="002B679E"/>
    <w:rsid w:val="002D4386"/>
    <w:rsid w:val="002E1633"/>
    <w:rsid w:val="00306F9E"/>
    <w:rsid w:val="003078A4"/>
    <w:rsid w:val="003135D1"/>
    <w:rsid w:val="00314A7E"/>
    <w:rsid w:val="003159C1"/>
    <w:rsid w:val="00326ED7"/>
    <w:rsid w:val="003319D5"/>
    <w:rsid w:val="00336983"/>
    <w:rsid w:val="00340935"/>
    <w:rsid w:val="003417DB"/>
    <w:rsid w:val="003545BF"/>
    <w:rsid w:val="00393199"/>
    <w:rsid w:val="0039750E"/>
    <w:rsid w:val="003A06D9"/>
    <w:rsid w:val="003B5D74"/>
    <w:rsid w:val="003B738E"/>
    <w:rsid w:val="00402245"/>
    <w:rsid w:val="00411349"/>
    <w:rsid w:val="00423612"/>
    <w:rsid w:val="004244D0"/>
    <w:rsid w:val="004259A6"/>
    <w:rsid w:val="004615D5"/>
    <w:rsid w:val="00461B2C"/>
    <w:rsid w:val="00480CD2"/>
    <w:rsid w:val="004902DA"/>
    <w:rsid w:val="00495160"/>
    <w:rsid w:val="00497715"/>
    <w:rsid w:val="004A1FBC"/>
    <w:rsid w:val="004A523C"/>
    <w:rsid w:val="004E029E"/>
    <w:rsid w:val="004E1C01"/>
    <w:rsid w:val="004E4360"/>
    <w:rsid w:val="004F7A4C"/>
    <w:rsid w:val="00502A4C"/>
    <w:rsid w:val="005204D9"/>
    <w:rsid w:val="0055708C"/>
    <w:rsid w:val="00561126"/>
    <w:rsid w:val="00561AD1"/>
    <w:rsid w:val="00562F19"/>
    <w:rsid w:val="00571933"/>
    <w:rsid w:val="005A0927"/>
    <w:rsid w:val="005B449C"/>
    <w:rsid w:val="005F0F9F"/>
    <w:rsid w:val="0063624F"/>
    <w:rsid w:val="00646007"/>
    <w:rsid w:val="0065738C"/>
    <w:rsid w:val="006611AE"/>
    <w:rsid w:val="00665FAE"/>
    <w:rsid w:val="00683403"/>
    <w:rsid w:val="00693B4B"/>
    <w:rsid w:val="006A1576"/>
    <w:rsid w:val="006A732F"/>
    <w:rsid w:val="006B69F5"/>
    <w:rsid w:val="006C053B"/>
    <w:rsid w:val="006C374B"/>
    <w:rsid w:val="006C784A"/>
    <w:rsid w:val="006C7EC3"/>
    <w:rsid w:val="006E3EDB"/>
    <w:rsid w:val="0070675C"/>
    <w:rsid w:val="00710873"/>
    <w:rsid w:val="00720052"/>
    <w:rsid w:val="00720530"/>
    <w:rsid w:val="007243B1"/>
    <w:rsid w:val="0076309D"/>
    <w:rsid w:val="007711EF"/>
    <w:rsid w:val="007732FF"/>
    <w:rsid w:val="00787510"/>
    <w:rsid w:val="00792C7C"/>
    <w:rsid w:val="007A6755"/>
    <w:rsid w:val="007C354C"/>
    <w:rsid w:val="007C48D2"/>
    <w:rsid w:val="007C57F2"/>
    <w:rsid w:val="007D5D6D"/>
    <w:rsid w:val="007E3350"/>
    <w:rsid w:val="007E4DD4"/>
    <w:rsid w:val="007F3AC2"/>
    <w:rsid w:val="007F761B"/>
    <w:rsid w:val="00804997"/>
    <w:rsid w:val="008245A6"/>
    <w:rsid w:val="00824924"/>
    <w:rsid w:val="00855D1C"/>
    <w:rsid w:val="00864BB0"/>
    <w:rsid w:val="00864D1F"/>
    <w:rsid w:val="00891BC4"/>
    <w:rsid w:val="00895BA7"/>
    <w:rsid w:val="00897DCE"/>
    <w:rsid w:val="008A1A26"/>
    <w:rsid w:val="008B49D5"/>
    <w:rsid w:val="008E1E11"/>
    <w:rsid w:val="008E3C4D"/>
    <w:rsid w:val="008F45E7"/>
    <w:rsid w:val="008F54EC"/>
    <w:rsid w:val="008F688E"/>
    <w:rsid w:val="00900199"/>
    <w:rsid w:val="00936451"/>
    <w:rsid w:val="0094197D"/>
    <w:rsid w:val="00943597"/>
    <w:rsid w:val="00950084"/>
    <w:rsid w:val="009945A0"/>
    <w:rsid w:val="00996DB9"/>
    <w:rsid w:val="009A1212"/>
    <w:rsid w:val="009A57F7"/>
    <w:rsid w:val="009A5FB2"/>
    <w:rsid w:val="009B6B34"/>
    <w:rsid w:val="009F2B7B"/>
    <w:rsid w:val="00A3428B"/>
    <w:rsid w:val="00A86A66"/>
    <w:rsid w:val="00AC1DB1"/>
    <w:rsid w:val="00AD1C4B"/>
    <w:rsid w:val="00AD44DB"/>
    <w:rsid w:val="00AF66AF"/>
    <w:rsid w:val="00B27E86"/>
    <w:rsid w:val="00B445E6"/>
    <w:rsid w:val="00B56FA8"/>
    <w:rsid w:val="00B600C9"/>
    <w:rsid w:val="00B603C4"/>
    <w:rsid w:val="00B91B2D"/>
    <w:rsid w:val="00B9755B"/>
    <w:rsid w:val="00BA2C37"/>
    <w:rsid w:val="00BA759F"/>
    <w:rsid w:val="00BC0E9C"/>
    <w:rsid w:val="00BC52F8"/>
    <w:rsid w:val="00BF7F5A"/>
    <w:rsid w:val="00C14E0E"/>
    <w:rsid w:val="00C223D8"/>
    <w:rsid w:val="00C32B35"/>
    <w:rsid w:val="00C51427"/>
    <w:rsid w:val="00C526C9"/>
    <w:rsid w:val="00C617E7"/>
    <w:rsid w:val="00C655BB"/>
    <w:rsid w:val="00C71B40"/>
    <w:rsid w:val="00C721D9"/>
    <w:rsid w:val="00C73CAE"/>
    <w:rsid w:val="00CA29F2"/>
    <w:rsid w:val="00CB124A"/>
    <w:rsid w:val="00CB4DF5"/>
    <w:rsid w:val="00CE3071"/>
    <w:rsid w:val="00CE4E3B"/>
    <w:rsid w:val="00D13936"/>
    <w:rsid w:val="00D16EBE"/>
    <w:rsid w:val="00D21230"/>
    <w:rsid w:val="00D5127D"/>
    <w:rsid w:val="00D64FF8"/>
    <w:rsid w:val="00D6554A"/>
    <w:rsid w:val="00D67E00"/>
    <w:rsid w:val="00D719D6"/>
    <w:rsid w:val="00D77AAF"/>
    <w:rsid w:val="00DA55F7"/>
    <w:rsid w:val="00DA7343"/>
    <w:rsid w:val="00DB1DBD"/>
    <w:rsid w:val="00DB5367"/>
    <w:rsid w:val="00DB63DF"/>
    <w:rsid w:val="00DB7E5E"/>
    <w:rsid w:val="00DC1FE1"/>
    <w:rsid w:val="00DD130F"/>
    <w:rsid w:val="00DF17EB"/>
    <w:rsid w:val="00E0609B"/>
    <w:rsid w:val="00E15EDA"/>
    <w:rsid w:val="00E2054D"/>
    <w:rsid w:val="00E25531"/>
    <w:rsid w:val="00E34AE3"/>
    <w:rsid w:val="00E45B87"/>
    <w:rsid w:val="00E67E60"/>
    <w:rsid w:val="00E70634"/>
    <w:rsid w:val="00E8407B"/>
    <w:rsid w:val="00EA102D"/>
    <w:rsid w:val="00EA17DC"/>
    <w:rsid w:val="00EA254B"/>
    <w:rsid w:val="00EA59E6"/>
    <w:rsid w:val="00EA72F9"/>
    <w:rsid w:val="00EB7110"/>
    <w:rsid w:val="00EC1D63"/>
    <w:rsid w:val="00EC734D"/>
    <w:rsid w:val="00ED039A"/>
    <w:rsid w:val="00ED7CB5"/>
    <w:rsid w:val="00F041A7"/>
    <w:rsid w:val="00F058F9"/>
    <w:rsid w:val="00F06009"/>
    <w:rsid w:val="00F062B0"/>
    <w:rsid w:val="00F07EE0"/>
    <w:rsid w:val="00F305C0"/>
    <w:rsid w:val="00F529D6"/>
    <w:rsid w:val="00F61095"/>
    <w:rsid w:val="00F80331"/>
    <w:rsid w:val="00F9378A"/>
    <w:rsid w:val="00FB1E0A"/>
    <w:rsid w:val="00FB76A1"/>
    <w:rsid w:val="00FC3131"/>
    <w:rsid w:val="00FD2929"/>
    <w:rsid w:val="00FE28A2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79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0790"/>
    <w:pPr>
      <w:jc w:val="both"/>
    </w:pPr>
    <w:rPr>
      <w:sz w:val="20"/>
      <w:szCs w:val="20"/>
      <w:lang w:val="bg-BG"/>
    </w:rPr>
  </w:style>
  <w:style w:type="paragraph" w:styleId="BodyText3">
    <w:name w:val="Body Text 3"/>
    <w:basedOn w:val="Normal"/>
    <w:rsid w:val="001A0790"/>
    <w:pPr>
      <w:spacing w:line="360" w:lineRule="auto"/>
      <w:jc w:val="both"/>
    </w:pPr>
    <w:rPr>
      <w:rFonts w:ascii="HebarU" w:hAnsi="HebarU"/>
      <w:sz w:val="22"/>
      <w:szCs w:val="20"/>
      <w:lang w:val="bg-BG"/>
    </w:rPr>
  </w:style>
  <w:style w:type="paragraph" w:styleId="BodyText2">
    <w:name w:val="Body Text 2"/>
    <w:basedOn w:val="Normal"/>
    <w:rsid w:val="001A0790"/>
    <w:pPr>
      <w:jc w:val="both"/>
    </w:pPr>
    <w:rPr>
      <w:lang w:val="bg-BG"/>
    </w:rPr>
  </w:style>
  <w:style w:type="paragraph" w:styleId="Footer">
    <w:name w:val="footer"/>
    <w:basedOn w:val="Normal"/>
    <w:rsid w:val="001A07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0790"/>
  </w:style>
  <w:style w:type="paragraph" w:styleId="Header">
    <w:name w:val="header"/>
    <w:basedOn w:val="Normal"/>
    <w:rsid w:val="00E0609B"/>
    <w:pPr>
      <w:tabs>
        <w:tab w:val="center" w:pos="4703"/>
        <w:tab w:val="right" w:pos="9406"/>
      </w:tabs>
    </w:pPr>
  </w:style>
  <w:style w:type="paragraph" w:customStyle="1" w:styleId="CharCharCharChar">
    <w:name w:val="Char Char Char Char"/>
    <w:basedOn w:val="Normal"/>
    <w:rsid w:val="00C32B35"/>
    <w:pPr>
      <w:spacing w:before="120" w:after="160" w:line="240" w:lineRule="exact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  <w:rsid w:val="00C32B35"/>
    <w:pPr>
      <w:spacing w:before="100" w:beforeAutospacing="1" w:after="100" w:afterAutospacing="1"/>
    </w:pPr>
    <w:rPr>
      <w:lang w:val="en-US"/>
    </w:rPr>
  </w:style>
  <w:style w:type="paragraph" w:customStyle="1" w:styleId="a">
    <w:name w:val="Знак"/>
    <w:basedOn w:val="Normal"/>
    <w:rsid w:val="00F062B0"/>
    <w:pPr>
      <w:spacing w:before="120"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rsid w:val="00281E13"/>
    <w:rPr>
      <w:color w:val="0000FF"/>
      <w:u w:val="single"/>
    </w:rPr>
  </w:style>
  <w:style w:type="paragraph" w:customStyle="1" w:styleId="Char1">
    <w:name w:val="Char1"/>
    <w:basedOn w:val="Normal"/>
    <w:rsid w:val="00891BC4"/>
    <w:pPr>
      <w:spacing w:after="160" w:line="240" w:lineRule="exact"/>
    </w:pPr>
    <w:rPr>
      <w:rFonts w:ascii="Verdana" w:hAnsi="Verdana"/>
      <w:snapToGrid w:val="0"/>
      <w:lang w:val="en-US"/>
    </w:rPr>
  </w:style>
  <w:style w:type="character" w:styleId="Strong">
    <w:name w:val="Strong"/>
    <w:basedOn w:val="DefaultParagraphFont"/>
    <w:qFormat/>
    <w:rsid w:val="001E6F92"/>
    <w:rPr>
      <w:b/>
      <w:bCs/>
    </w:rPr>
  </w:style>
  <w:style w:type="paragraph" w:styleId="NoSpacing">
    <w:name w:val="No Spacing"/>
    <w:link w:val="NoSpacingChar"/>
    <w:uiPriority w:val="1"/>
    <w:qFormat/>
    <w:rsid w:val="00CA29F2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29F2"/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 ЗА ДЕЙНОСТТА</vt:lpstr>
    </vt:vector>
  </TitlesOfParts>
  <Company>SPEEDY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ДЕЙНОСТТА</dc:title>
  <dc:subject>На Директора за връзки с инвеститорите</dc:subject>
  <dc:creator>Красимир Тахчиев</dc:creator>
  <cp:lastModifiedBy>Kris</cp:lastModifiedBy>
  <cp:revision>13</cp:revision>
  <cp:lastPrinted>2011-05-25T12:48:00Z</cp:lastPrinted>
  <dcterms:created xsi:type="dcterms:W3CDTF">2013-04-05T10:29:00Z</dcterms:created>
  <dcterms:modified xsi:type="dcterms:W3CDTF">2013-04-08T12:01:00Z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-337734797</vt:i4>
  </property>
  <property fmtid="{D5CDD505-2E9C-101B-9397-08002B2CF9AE}" pid="3" name="_NewReviewCycle">
    <vt:lpwstr/>
  </property>
  <property fmtid="{D5CDD505-2E9C-101B-9397-08002B2CF9AE}" pid="4" name="_EmailSubject">
    <vt:lpwstr>Покана за ОСА</vt:lpwstr>
  </property>
  <property fmtid="{D5CDD505-2E9C-101B-9397-08002B2CF9AE}" pid="5" name="_AuthorEmail">
    <vt:lpwstr>k.tahchiev@speedy.bg</vt:lpwstr>
  </property>
  <property fmtid="{D5CDD505-2E9C-101B-9397-08002B2CF9AE}" pid="6" name="_AuthorEmailDisplayName">
    <vt:lpwstr>Красимир Тахчиев</vt:lpwstr>
  </property>
</Properties>
</file>