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9FB" w:rsidRPr="00746EDE" w:rsidRDefault="004E69FB" w:rsidP="004E69FB">
      <w:pPr>
        <w:spacing w:line="360" w:lineRule="auto"/>
        <w:jc w:val="center"/>
        <w:rPr>
          <w:b/>
          <w:bCs/>
          <w:sz w:val="28"/>
        </w:rPr>
      </w:pPr>
    </w:p>
    <w:p w:rsidR="004E69FB" w:rsidRPr="00746EDE" w:rsidRDefault="004E69FB" w:rsidP="004E69FB">
      <w:pPr>
        <w:spacing w:line="360" w:lineRule="auto"/>
        <w:jc w:val="center"/>
        <w:rPr>
          <w:b/>
          <w:bCs/>
          <w:sz w:val="28"/>
        </w:rPr>
      </w:pPr>
    </w:p>
    <w:p w:rsidR="004E69FB" w:rsidRPr="00746EDE" w:rsidRDefault="004E69FB" w:rsidP="004E69FB">
      <w:pPr>
        <w:spacing w:line="360" w:lineRule="auto"/>
        <w:jc w:val="center"/>
        <w:rPr>
          <w:b/>
          <w:bCs/>
          <w:sz w:val="28"/>
        </w:rPr>
      </w:pPr>
    </w:p>
    <w:p w:rsidR="004E69FB" w:rsidRPr="00746EDE" w:rsidRDefault="004E69FB" w:rsidP="004E69FB">
      <w:pPr>
        <w:spacing w:line="360" w:lineRule="auto"/>
        <w:jc w:val="center"/>
        <w:rPr>
          <w:b/>
          <w:bCs/>
          <w:sz w:val="28"/>
        </w:rPr>
      </w:pPr>
    </w:p>
    <w:p w:rsidR="00983216" w:rsidRPr="00746EDE" w:rsidRDefault="00983216" w:rsidP="00983216">
      <w:pPr>
        <w:spacing w:line="360" w:lineRule="auto"/>
        <w:jc w:val="center"/>
        <w:rPr>
          <w:b/>
          <w:sz w:val="28"/>
          <w:szCs w:val="28"/>
        </w:rPr>
      </w:pPr>
      <w:r w:rsidRPr="00746EDE">
        <w:rPr>
          <w:b/>
          <w:sz w:val="28"/>
          <w:szCs w:val="28"/>
        </w:rPr>
        <w:t>QUARTERLY MANAGEMENT REPORT</w:t>
      </w:r>
    </w:p>
    <w:p w:rsidR="00983216" w:rsidRPr="00746EDE" w:rsidRDefault="00983216" w:rsidP="00983216">
      <w:pPr>
        <w:spacing w:line="360" w:lineRule="auto"/>
        <w:jc w:val="center"/>
        <w:rPr>
          <w:b/>
          <w:sz w:val="28"/>
          <w:szCs w:val="28"/>
        </w:rPr>
      </w:pPr>
      <w:r w:rsidRPr="00746EDE">
        <w:rPr>
          <w:b/>
          <w:sz w:val="28"/>
          <w:szCs w:val="28"/>
        </w:rPr>
        <w:t xml:space="preserve">AS OF 31 JUNE 2015 </w:t>
      </w:r>
    </w:p>
    <w:p w:rsidR="00983216" w:rsidRPr="00746EDE" w:rsidRDefault="00983216" w:rsidP="00983216">
      <w:pPr>
        <w:spacing w:line="360" w:lineRule="auto"/>
        <w:jc w:val="center"/>
        <w:rPr>
          <w:b/>
          <w:sz w:val="28"/>
          <w:szCs w:val="28"/>
        </w:rPr>
      </w:pPr>
    </w:p>
    <w:p w:rsidR="00983216" w:rsidRPr="00746EDE" w:rsidRDefault="00983216" w:rsidP="00983216">
      <w:pPr>
        <w:jc w:val="center"/>
        <w:rPr>
          <w:b/>
          <w:bCs/>
        </w:rPr>
      </w:pPr>
      <w:proofErr w:type="gramStart"/>
      <w:r w:rsidRPr="00746EDE">
        <w:rPr>
          <w:b/>
          <w:bCs/>
        </w:rPr>
        <w:t>in</w:t>
      </w:r>
      <w:proofErr w:type="gramEnd"/>
      <w:r w:rsidRPr="00746EDE">
        <w:rPr>
          <w:b/>
          <w:bCs/>
        </w:rPr>
        <w:t xml:space="preserve"> </w:t>
      </w:r>
      <w:r w:rsidR="001108C1" w:rsidRPr="00746EDE">
        <w:rPr>
          <w:b/>
          <w:bCs/>
        </w:rPr>
        <w:t>compliance</w:t>
      </w:r>
      <w:r w:rsidRPr="00746EDE">
        <w:rPr>
          <w:b/>
          <w:bCs/>
        </w:rPr>
        <w:t xml:space="preserve"> with the art. 100o, par. 4 of POSA and art. 33, par. 1 of Ordinance 2 on the prospectuses for public offering of securities and admission for trading on regulated securities market and for disclosure of information by the public companies and other issuers of securities </w:t>
      </w:r>
    </w:p>
    <w:p w:rsidR="004E69FB" w:rsidRPr="00746EDE" w:rsidRDefault="004E69FB" w:rsidP="004E69FB">
      <w:pPr>
        <w:rPr>
          <w:sz w:val="22"/>
        </w:rPr>
      </w:pPr>
    </w:p>
    <w:p w:rsidR="004E69FB" w:rsidRPr="00746EDE" w:rsidRDefault="004E69FB" w:rsidP="004E69FB">
      <w:pPr>
        <w:rPr>
          <w:sz w:val="22"/>
        </w:rPr>
      </w:pPr>
    </w:p>
    <w:p w:rsidR="004E69FB" w:rsidRPr="00746EDE" w:rsidRDefault="004E69FB" w:rsidP="004E69FB">
      <w:pPr>
        <w:rPr>
          <w:sz w:val="22"/>
        </w:rPr>
      </w:pPr>
    </w:p>
    <w:p w:rsidR="004E69FB" w:rsidRPr="00746EDE" w:rsidRDefault="004E69FB" w:rsidP="004E69FB">
      <w:pPr>
        <w:rPr>
          <w:sz w:val="22"/>
        </w:rPr>
      </w:pPr>
    </w:p>
    <w:p w:rsidR="004E69FB" w:rsidRPr="00746EDE" w:rsidRDefault="004E69FB" w:rsidP="004E69FB">
      <w:pPr>
        <w:rPr>
          <w:sz w:val="22"/>
        </w:rPr>
      </w:pPr>
    </w:p>
    <w:p w:rsidR="004E69FB" w:rsidRPr="00746EDE" w:rsidRDefault="004E69FB" w:rsidP="004E69FB">
      <w:pPr>
        <w:rPr>
          <w:sz w:val="22"/>
        </w:rPr>
      </w:pPr>
    </w:p>
    <w:p w:rsidR="004E69FB" w:rsidRPr="00746EDE" w:rsidRDefault="004E69FB" w:rsidP="004E69FB">
      <w:pPr>
        <w:rPr>
          <w:sz w:val="22"/>
        </w:rPr>
      </w:pPr>
    </w:p>
    <w:p w:rsidR="004E69FB" w:rsidRPr="00746EDE" w:rsidRDefault="004E69FB" w:rsidP="004E69FB">
      <w:pPr>
        <w:rPr>
          <w:sz w:val="22"/>
        </w:rPr>
      </w:pPr>
    </w:p>
    <w:p w:rsidR="004E69FB" w:rsidRPr="00746EDE" w:rsidRDefault="004E69FB" w:rsidP="004E69FB">
      <w:pPr>
        <w:rPr>
          <w:sz w:val="22"/>
        </w:rPr>
      </w:pPr>
    </w:p>
    <w:p w:rsidR="004E69FB" w:rsidRPr="00746EDE" w:rsidRDefault="004E69FB" w:rsidP="004E69FB">
      <w:pPr>
        <w:rPr>
          <w:sz w:val="22"/>
        </w:rPr>
      </w:pPr>
    </w:p>
    <w:p w:rsidR="004E69FB" w:rsidRPr="00746EDE" w:rsidRDefault="004E69FB" w:rsidP="004E69FB">
      <w:pPr>
        <w:rPr>
          <w:sz w:val="22"/>
        </w:rPr>
      </w:pPr>
    </w:p>
    <w:p w:rsidR="004E69FB" w:rsidRPr="00746EDE" w:rsidRDefault="004E69FB" w:rsidP="004E69FB">
      <w:pPr>
        <w:rPr>
          <w:sz w:val="22"/>
        </w:rPr>
      </w:pPr>
    </w:p>
    <w:p w:rsidR="004E69FB" w:rsidRPr="00746EDE" w:rsidRDefault="004E69FB" w:rsidP="004E69FB">
      <w:pPr>
        <w:rPr>
          <w:sz w:val="22"/>
        </w:rPr>
      </w:pPr>
    </w:p>
    <w:p w:rsidR="004E69FB" w:rsidRPr="00746EDE" w:rsidRDefault="004E69FB" w:rsidP="004E69FB">
      <w:pPr>
        <w:rPr>
          <w:sz w:val="22"/>
        </w:rPr>
      </w:pPr>
    </w:p>
    <w:p w:rsidR="004E69FB" w:rsidRPr="00746EDE" w:rsidRDefault="004E69FB" w:rsidP="004E69FB">
      <w:pPr>
        <w:rPr>
          <w:sz w:val="22"/>
        </w:rPr>
      </w:pPr>
    </w:p>
    <w:p w:rsidR="004E69FB" w:rsidRPr="00746EDE" w:rsidRDefault="004E69FB" w:rsidP="004E69FB">
      <w:pPr>
        <w:rPr>
          <w:sz w:val="22"/>
        </w:rPr>
      </w:pPr>
    </w:p>
    <w:p w:rsidR="004E69FB" w:rsidRPr="00746EDE" w:rsidRDefault="004E69FB" w:rsidP="004E69FB">
      <w:pPr>
        <w:rPr>
          <w:sz w:val="22"/>
        </w:rPr>
      </w:pPr>
    </w:p>
    <w:p w:rsidR="004E69FB" w:rsidRPr="00746EDE" w:rsidRDefault="004E69FB" w:rsidP="004E69FB">
      <w:pPr>
        <w:rPr>
          <w:sz w:val="22"/>
        </w:rPr>
      </w:pPr>
    </w:p>
    <w:p w:rsidR="004E69FB" w:rsidRPr="00746EDE" w:rsidRDefault="004E69FB" w:rsidP="004E69FB">
      <w:pPr>
        <w:rPr>
          <w:sz w:val="22"/>
        </w:rPr>
      </w:pPr>
    </w:p>
    <w:p w:rsidR="004E69FB" w:rsidRPr="00746EDE" w:rsidRDefault="004E69FB" w:rsidP="004E69FB">
      <w:pPr>
        <w:pStyle w:val="BodyText"/>
        <w:rPr>
          <w:sz w:val="22"/>
          <w:lang w:val="en-GB"/>
        </w:rPr>
      </w:pPr>
    </w:p>
    <w:p w:rsidR="004E69FB" w:rsidRPr="00746EDE" w:rsidRDefault="004E69FB" w:rsidP="004E69FB">
      <w:pPr>
        <w:pStyle w:val="BodyText"/>
        <w:rPr>
          <w:sz w:val="22"/>
          <w:lang w:val="en-GB"/>
        </w:rPr>
      </w:pPr>
    </w:p>
    <w:p w:rsidR="004E69FB" w:rsidRPr="00746EDE" w:rsidRDefault="004E69FB" w:rsidP="004E69FB">
      <w:pPr>
        <w:pStyle w:val="BodyText"/>
        <w:rPr>
          <w:sz w:val="22"/>
          <w:lang w:val="en-GB"/>
        </w:rPr>
      </w:pPr>
    </w:p>
    <w:p w:rsidR="004E69FB" w:rsidRPr="00746EDE" w:rsidRDefault="004E69FB" w:rsidP="004E69FB">
      <w:pPr>
        <w:pStyle w:val="BodyText"/>
        <w:spacing w:line="312" w:lineRule="auto"/>
        <w:rPr>
          <w:sz w:val="22"/>
          <w:lang w:val="en-GB"/>
        </w:rPr>
      </w:pPr>
    </w:p>
    <w:p w:rsidR="004E69FB" w:rsidRPr="00746EDE" w:rsidRDefault="004E69FB" w:rsidP="004E69FB">
      <w:pPr>
        <w:pStyle w:val="BodyText"/>
        <w:spacing w:line="312" w:lineRule="auto"/>
        <w:rPr>
          <w:sz w:val="22"/>
          <w:lang w:val="en-GB"/>
        </w:rPr>
      </w:pPr>
    </w:p>
    <w:p w:rsidR="000539B6" w:rsidRPr="00746EDE" w:rsidRDefault="000539B6" w:rsidP="004E69FB">
      <w:pPr>
        <w:pStyle w:val="BodyText"/>
        <w:spacing w:line="312" w:lineRule="auto"/>
        <w:rPr>
          <w:sz w:val="22"/>
          <w:lang w:val="en-GB"/>
        </w:rPr>
      </w:pPr>
    </w:p>
    <w:p w:rsidR="004E69FB" w:rsidRPr="00746EDE" w:rsidRDefault="004E69FB" w:rsidP="004E69FB">
      <w:pPr>
        <w:pStyle w:val="BodyText"/>
        <w:spacing w:line="312" w:lineRule="auto"/>
        <w:rPr>
          <w:sz w:val="22"/>
          <w:lang w:val="en-GB"/>
        </w:rPr>
      </w:pPr>
    </w:p>
    <w:p w:rsidR="004E69FB" w:rsidRPr="00746EDE" w:rsidRDefault="004E69FB" w:rsidP="004E69FB">
      <w:pPr>
        <w:pStyle w:val="BodyText"/>
        <w:spacing w:line="312" w:lineRule="auto"/>
        <w:rPr>
          <w:b/>
          <w:sz w:val="22"/>
          <w:lang w:val="en-GB"/>
        </w:rPr>
      </w:pPr>
    </w:p>
    <w:p w:rsidR="004E69FB" w:rsidRPr="00746EDE" w:rsidRDefault="004E69FB" w:rsidP="004E69FB">
      <w:pPr>
        <w:pStyle w:val="BodyText"/>
        <w:spacing w:line="312" w:lineRule="auto"/>
        <w:rPr>
          <w:b/>
          <w:sz w:val="22"/>
          <w:lang w:val="en-GB"/>
        </w:rPr>
      </w:pPr>
    </w:p>
    <w:p w:rsidR="00C226E1" w:rsidRPr="00746EDE" w:rsidRDefault="00C226E1" w:rsidP="004E69FB">
      <w:pPr>
        <w:spacing w:line="360" w:lineRule="auto"/>
        <w:rPr>
          <w:b/>
          <w:bCs/>
        </w:rPr>
      </w:pPr>
    </w:p>
    <w:p w:rsidR="004E69FB" w:rsidRPr="00746EDE" w:rsidRDefault="00101744" w:rsidP="000D375E">
      <w:pPr>
        <w:spacing w:line="360" w:lineRule="auto"/>
        <w:rPr>
          <w:b/>
        </w:rPr>
      </w:pPr>
      <w:r w:rsidRPr="00746EDE">
        <w:rPr>
          <w:b/>
          <w:bCs/>
        </w:rPr>
        <w:br w:type="page"/>
      </w:r>
      <w:r w:rsidRPr="00746EDE">
        <w:rPr>
          <w:b/>
        </w:rPr>
        <w:lastRenderedPageBreak/>
        <w:t xml:space="preserve">I. </w:t>
      </w:r>
      <w:r w:rsidR="002F4D97" w:rsidRPr="00746EDE">
        <w:rPr>
          <w:b/>
        </w:rPr>
        <w:t>IMPORTANT DEVELOPMENTS DURING THE FIRST HALF OF 2015 AND THEIR EFFECT ON THE FINANCIAL RESULTS</w:t>
      </w:r>
    </w:p>
    <w:p w:rsidR="004574F3" w:rsidRPr="00746EDE" w:rsidRDefault="004574F3" w:rsidP="005837A0">
      <w:pPr>
        <w:pStyle w:val="BodyText"/>
        <w:spacing w:after="120"/>
        <w:rPr>
          <w:b/>
          <w:lang w:val="en-GB"/>
        </w:rPr>
      </w:pPr>
    </w:p>
    <w:p w:rsidR="004E69FB" w:rsidRPr="00746EDE" w:rsidRDefault="004E69FB" w:rsidP="00AD1D21">
      <w:pPr>
        <w:pStyle w:val="BodyText"/>
        <w:spacing w:after="120"/>
        <w:rPr>
          <w:b/>
          <w:lang w:val="en-GB"/>
        </w:rPr>
      </w:pPr>
      <w:r w:rsidRPr="00746EDE">
        <w:rPr>
          <w:b/>
          <w:lang w:val="en-GB"/>
        </w:rPr>
        <w:t xml:space="preserve">1. </w:t>
      </w:r>
      <w:r w:rsidR="002F4D97" w:rsidRPr="00746EDE">
        <w:rPr>
          <w:b/>
          <w:lang w:val="en-GB"/>
        </w:rPr>
        <w:t>Core Activity</w:t>
      </w:r>
      <w:r w:rsidRPr="00746EDE">
        <w:rPr>
          <w:b/>
          <w:lang w:val="en-GB"/>
        </w:rPr>
        <w:t xml:space="preserve"> </w:t>
      </w:r>
    </w:p>
    <w:p w:rsidR="0073171E" w:rsidRPr="00746EDE" w:rsidRDefault="002F4D97" w:rsidP="00AD1D21">
      <w:pPr>
        <w:pStyle w:val="BodyText"/>
        <w:spacing w:after="120"/>
        <w:ind w:right="-180"/>
        <w:rPr>
          <w:i/>
          <w:u w:val="single"/>
          <w:lang w:val="en-GB"/>
        </w:rPr>
      </w:pPr>
      <w:r w:rsidRPr="00746EDE">
        <w:rPr>
          <w:i/>
          <w:u w:val="single"/>
          <w:lang w:val="en-GB"/>
        </w:rPr>
        <w:t xml:space="preserve">1.1 </w:t>
      </w:r>
      <w:r w:rsidR="008130B7" w:rsidRPr="00746EDE">
        <w:rPr>
          <w:i/>
          <w:u w:val="single"/>
          <w:lang w:val="en-GB"/>
        </w:rPr>
        <w:t>Revenue</w:t>
      </w:r>
    </w:p>
    <w:p w:rsidR="00685BE4" w:rsidRPr="00746EDE" w:rsidRDefault="008130B7" w:rsidP="000308B3">
      <w:pPr>
        <w:pStyle w:val="BodyText"/>
        <w:spacing w:after="120"/>
        <w:ind w:right="-180"/>
        <w:rPr>
          <w:lang w:val="en-GB"/>
        </w:rPr>
      </w:pPr>
      <w:r w:rsidRPr="00746EDE">
        <w:rPr>
          <w:lang w:val="en-GB"/>
        </w:rPr>
        <w:t xml:space="preserve">“Speedy” AD remains entirely focused on the development of its principal activity – the providing courier services. The company is still concentrated on the development of the international and the pallet services and </w:t>
      </w:r>
      <w:r w:rsidR="001108C1" w:rsidRPr="00746EDE">
        <w:rPr>
          <w:lang w:val="en-GB"/>
        </w:rPr>
        <w:t>endeavours</w:t>
      </w:r>
      <w:r w:rsidRPr="00746EDE">
        <w:rPr>
          <w:lang w:val="en-GB"/>
        </w:rPr>
        <w:t xml:space="preserve"> are at expanding the network and the range of services. </w:t>
      </w:r>
      <w:r w:rsidR="003C4C37" w:rsidRPr="00746EDE">
        <w:rPr>
          <w:lang w:val="en-GB"/>
        </w:rPr>
        <w:t xml:space="preserve">Beside acquisition in Romania, the company has established partnerships with companies in other </w:t>
      </w:r>
      <w:r w:rsidR="001108C1" w:rsidRPr="00746EDE">
        <w:rPr>
          <w:lang w:val="en-GB"/>
        </w:rPr>
        <w:t>neighbouring</w:t>
      </w:r>
      <w:r w:rsidR="003C4C37" w:rsidRPr="00746EDE">
        <w:rPr>
          <w:lang w:val="en-GB"/>
        </w:rPr>
        <w:t xml:space="preserve"> countries. Thus, it allowed </w:t>
      </w:r>
      <w:r w:rsidR="009D17F6" w:rsidRPr="00746EDE">
        <w:rPr>
          <w:lang w:val="en-GB"/>
        </w:rPr>
        <w:t>offering</w:t>
      </w:r>
      <w:r w:rsidR="003C4C37" w:rsidRPr="00746EDE">
        <w:rPr>
          <w:lang w:val="en-GB"/>
        </w:rPr>
        <w:t xml:space="preserve"> to its client deliveries in Romania and Greece </w:t>
      </w:r>
      <w:r w:rsidR="009D17F6" w:rsidRPr="00746EDE">
        <w:rPr>
          <w:lang w:val="en-GB"/>
        </w:rPr>
        <w:t>at the same tariff as for</w:t>
      </w:r>
      <w:r w:rsidR="003C4C37" w:rsidRPr="00746EDE">
        <w:rPr>
          <w:lang w:val="en-GB"/>
        </w:rPr>
        <w:t xml:space="preserve"> local market. </w:t>
      </w:r>
      <w:r w:rsidR="00F6193B" w:rsidRPr="00746EDE">
        <w:rPr>
          <w:lang w:val="en-GB"/>
        </w:rPr>
        <w:t>The planned development of</w:t>
      </w:r>
      <w:r w:rsidR="009D17F6" w:rsidRPr="00746EDE">
        <w:rPr>
          <w:lang w:val="en-GB"/>
        </w:rPr>
        <w:t xml:space="preserve"> the office network </w:t>
      </w:r>
      <w:r w:rsidR="001108C1" w:rsidRPr="00746EDE">
        <w:rPr>
          <w:lang w:val="en-GB"/>
        </w:rPr>
        <w:t>largely</w:t>
      </w:r>
      <w:r w:rsidR="00F6193B" w:rsidRPr="00746EDE">
        <w:rPr>
          <w:lang w:val="en-GB"/>
        </w:rPr>
        <w:t xml:space="preserve"> is completed and in </w:t>
      </w:r>
      <w:proofErr w:type="gramStart"/>
      <w:r w:rsidR="00F6193B" w:rsidRPr="00746EDE">
        <w:rPr>
          <w:lang w:val="en-GB"/>
        </w:rPr>
        <w:t>future</w:t>
      </w:r>
      <w:proofErr w:type="gramEnd"/>
      <w:r w:rsidR="00F6193B" w:rsidRPr="00746EDE">
        <w:rPr>
          <w:lang w:val="en-GB"/>
        </w:rPr>
        <w:t xml:space="preserve"> the </w:t>
      </w:r>
      <w:r w:rsidR="001108C1" w:rsidRPr="00746EDE">
        <w:rPr>
          <w:lang w:val="en-GB"/>
        </w:rPr>
        <w:t>efforts</w:t>
      </w:r>
      <w:r w:rsidR="00F6193B" w:rsidRPr="00746EDE">
        <w:rPr>
          <w:lang w:val="en-GB"/>
        </w:rPr>
        <w:t xml:space="preserve"> are to be on its optimization</w:t>
      </w:r>
      <w:r w:rsidR="00932BD4" w:rsidRPr="00746EDE">
        <w:rPr>
          <w:lang w:val="en-GB"/>
        </w:rPr>
        <w:t>.</w:t>
      </w:r>
    </w:p>
    <w:p w:rsidR="009D17F6" w:rsidRPr="00746EDE" w:rsidRDefault="009D17F6" w:rsidP="000308B3">
      <w:pPr>
        <w:pStyle w:val="BodyText"/>
        <w:spacing w:after="120"/>
        <w:ind w:right="-180"/>
        <w:rPr>
          <w:lang w:val="en-GB"/>
        </w:rPr>
      </w:pPr>
      <w:r w:rsidRPr="00746EDE">
        <w:rPr>
          <w:lang w:val="en-GB"/>
        </w:rPr>
        <w:t>On consolidated basis, the company emphasize on quick expansion in Romania by offering wider range of services as well as increasing the capacity of the logistic network.</w:t>
      </w:r>
    </w:p>
    <w:p w:rsidR="00F43C9D" w:rsidRPr="00746EDE" w:rsidRDefault="009D17F6" w:rsidP="009115C0">
      <w:pPr>
        <w:pStyle w:val="BodyText"/>
        <w:spacing w:after="120"/>
        <w:ind w:right="-180"/>
        <w:jc w:val="center"/>
        <w:rPr>
          <w:i/>
          <w:u w:val="single"/>
          <w:lang w:val="en-GB"/>
        </w:rPr>
      </w:pPr>
      <w:r w:rsidRPr="00746EDE">
        <w:rPr>
          <w:i/>
          <w:u w:val="single"/>
          <w:lang w:val="en-GB"/>
        </w:rPr>
        <w:t>Revenue structure, non-consolidated</w:t>
      </w:r>
    </w:p>
    <w:tbl>
      <w:tblPr>
        <w:tblW w:w="9923" w:type="dxa"/>
        <w:tblBorders>
          <w:top w:val="single" w:sz="18" w:space="0" w:color="auto"/>
          <w:bottom w:val="single" w:sz="18" w:space="0" w:color="auto"/>
        </w:tblBorders>
        <w:tblLayout w:type="fixed"/>
        <w:tblLook w:val="04E0" w:firstRow="1" w:lastRow="1" w:firstColumn="1" w:lastColumn="0" w:noHBand="0" w:noVBand="1"/>
      </w:tblPr>
      <w:tblGrid>
        <w:gridCol w:w="4253"/>
        <w:gridCol w:w="1937"/>
        <w:gridCol w:w="1937"/>
        <w:gridCol w:w="1796"/>
      </w:tblGrid>
      <w:tr w:rsidR="00C81E06" w:rsidRPr="00746EDE" w:rsidTr="00A94FB7">
        <w:trPr>
          <w:trHeight w:val="311"/>
        </w:trPr>
        <w:tc>
          <w:tcPr>
            <w:tcW w:w="4253" w:type="dxa"/>
            <w:tcBorders>
              <w:top w:val="single" w:sz="18" w:space="0" w:color="auto"/>
              <w:left w:val="nil"/>
              <w:bottom w:val="single" w:sz="18" w:space="0" w:color="auto"/>
              <w:right w:val="nil"/>
            </w:tcBorders>
            <w:shd w:val="clear" w:color="auto" w:fill="4F81BD"/>
            <w:noWrap/>
            <w:vAlign w:val="center"/>
            <w:hideMark/>
          </w:tcPr>
          <w:p w:rsidR="00C81E06" w:rsidRPr="00746EDE" w:rsidRDefault="009D17F6" w:rsidP="00C81E06">
            <w:pPr>
              <w:jc w:val="center"/>
              <w:rPr>
                <w:b/>
                <w:bCs/>
                <w:color w:val="FFFFFF"/>
                <w:lang w:eastAsia="bg-BG"/>
              </w:rPr>
            </w:pPr>
            <w:r w:rsidRPr="00746EDE">
              <w:rPr>
                <w:b/>
                <w:bCs/>
                <w:color w:val="FFFFFF"/>
                <w:lang w:eastAsia="bg-BG"/>
              </w:rPr>
              <w:t>In BGN ‘000</w:t>
            </w:r>
          </w:p>
        </w:tc>
        <w:tc>
          <w:tcPr>
            <w:tcW w:w="1937" w:type="dxa"/>
            <w:tcBorders>
              <w:top w:val="single" w:sz="18" w:space="0" w:color="auto"/>
              <w:left w:val="nil"/>
              <w:bottom w:val="single" w:sz="18" w:space="0" w:color="auto"/>
              <w:right w:val="nil"/>
            </w:tcBorders>
            <w:shd w:val="clear" w:color="auto" w:fill="4F81BD"/>
          </w:tcPr>
          <w:p w:rsidR="00C81E06" w:rsidRPr="00746EDE" w:rsidRDefault="00411291" w:rsidP="00C81E06">
            <w:pPr>
              <w:jc w:val="center"/>
              <w:rPr>
                <w:b/>
                <w:bCs/>
                <w:color w:val="FFFFFF"/>
              </w:rPr>
            </w:pPr>
            <w:r w:rsidRPr="00746EDE">
              <w:rPr>
                <w:b/>
                <w:bCs/>
                <w:color w:val="FFFFFF"/>
              </w:rPr>
              <w:t>Н</w:t>
            </w:r>
            <w:r w:rsidR="00C81E06" w:rsidRPr="00746EDE">
              <w:rPr>
                <w:b/>
                <w:bCs/>
                <w:color w:val="FFFFFF"/>
              </w:rPr>
              <w:t>1 14</w:t>
            </w:r>
          </w:p>
        </w:tc>
        <w:tc>
          <w:tcPr>
            <w:tcW w:w="1937" w:type="dxa"/>
            <w:tcBorders>
              <w:top w:val="single" w:sz="18" w:space="0" w:color="auto"/>
              <w:left w:val="nil"/>
              <w:bottom w:val="single" w:sz="18" w:space="0" w:color="auto"/>
              <w:right w:val="nil"/>
            </w:tcBorders>
            <w:shd w:val="clear" w:color="auto" w:fill="4F81BD"/>
          </w:tcPr>
          <w:p w:rsidR="00C81E06" w:rsidRPr="00746EDE" w:rsidRDefault="00411291" w:rsidP="00C81E06">
            <w:pPr>
              <w:jc w:val="center"/>
              <w:rPr>
                <w:b/>
                <w:bCs/>
                <w:color w:val="FFFFFF"/>
              </w:rPr>
            </w:pPr>
            <w:r w:rsidRPr="00746EDE">
              <w:rPr>
                <w:b/>
                <w:bCs/>
                <w:color w:val="FFFFFF"/>
              </w:rPr>
              <w:t>Н</w:t>
            </w:r>
            <w:r w:rsidR="00C81E06" w:rsidRPr="00746EDE">
              <w:rPr>
                <w:b/>
                <w:bCs/>
                <w:color w:val="FFFFFF"/>
              </w:rPr>
              <w:t>1 15</w:t>
            </w:r>
          </w:p>
        </w:tc>
        <w:tc>
          <w:tcPr>
            <w:tcW w:w="1796" w:type="dxa"/>
            <w:tcBorders>
              <w:top w:val="single" w:sz="18" w:space="0" w:color="auto"/>
              <w:left w:val="nil"/>
              <w:bottom w:val="single" w:sz="18" w:space="0" w:color="auto"/>
              <w:right w:val="single" w:sz="12" w:space="0" w:color="auto"/>
            </w:tcBorders>
            <w:shd w:val="clear" w:color="auto" w:fill="4F81BD"/>
            <w:vAlign w:val="center"/>
          </w:tcPr>
          <w:p w:rsidR="00C81E06" w:rsidRPr="00746EDE" w:rsidRDefault="009D17F6" w:rsidP="00C81E06">
            <w:pPr>
              <w:jc w:val="center"/>
              <w:rPr>
                <w:b/>
                <w:bCs/>
                <w:color w:val="FFFFFF"/>
              </w:rPr>
            </w:pPr>
            <w:r w:rsidRPr="00746EDE">
              <w:rPr>
                <w:b/>
                <w:bCs/>
                <w:color w:val="FFFFFF"/>
              </w:rPr>
              <w:t>Change</w:t>
            </w:r>
          </w:p>
        </w:tc>
      </w:tr>
      <w:tr w:rsidR="003D770D" w:rsidRPr="00746EDE" w:rsidTr="00A94FB7">
        <w:trPr>
          <w:trHeight w:val="311"/>
        </w:trPr>
        <w:tc>
          <w:tcPr>
            <w:tcW w:w="4253" w:type="dxa"/>
            <w:tcBorders>
              <w:left w:val="nil"/>
              <w:bottom w:val="nil"/>
              <w:right w:val="nil"/>
            </w:tcBorders>
            <w:shd w:val="clear" w:color="auto" w:fill="4F81BD"/>
            <w:noWrap/>
            <w:vAlign w:val="center"/>
            <w:hideMark/>
          </w:tcPr>
          <w:p w:rsidR="003D770D" w:rsidRPr="00746EDE" w:rsidRDefault="003D770D" w:rsidP="003D770D">
            <w:pPr>
              <w:rPr>
                <w:b/>
                <w:bCs/>
                <w:color w:val="FFFFFF"/>
                <w:lang w:eastAsia="bg-BG"/>
              </w:rPr>
            </w:pPr>
            <w:r w:rsidRPr="00746EDE">
              <w:rPr>
                <w:b/>
                <w:bCs/>
                <w:color w:val="FFFFFF"/>
                <w:lang w:eastAsia="bg-BG"/>
              </w:rPr>
              <w:t>Domestic market</w:t>
            </w:r>
          </w:p>
        </w:tc>
        <w:tc>
          <w:tcPr>
            <w:tcW w:w="1937" w:type="dxa"/>
            <w:shd w:val="clear" w:color="auto" w:fill="D8D8D8"/>
            <w:vAlign w:val="center"/>
          </w:tcPr>
          <w:p w:rsidR="003D770D" w:rsidRPr="00746EDE" w:rsidRDefault="003D770D" w:rsidP="003D770D">
            <w:pPr>
              <w:jc w:val="right"/>
              <w:rPr>
                <w:color w:val="000000"/>
                <w:sz w:val="20"/>
                <w:szCs w:val="20"/>
              </w:rPr>
            </w:pPr>
            <w:r w:rsidRPr="00746EDE">
              <w:rPr>
                <w:color w:val="000000"/>
                <w:sz w:val="20"/>
                <w:szCs w:val="20"/>
              </w:rPr>
              <w:t>30 486</w:t>
            </w:r>
          </w:p>
        </w:tc>
        <w:tc>
          <w:tcPr>
            <w:tcW w:w="1937" w:type="dxa"/>
            <w:shd w:val="clear" w:color="auto" w:fill="D8D8D8"/>
            <w:vAlign w:val="center"/>
          </w:tcPr>
          <w:p w:rsidR="003D770D" w:rsidRPr="00746EDE" w:rsidRDefault="003D770D" w:rsidP="003D770D">
            <w:pPr>
              <w:jc w:val="right"/>
              <w:rPr>
                <w:color w:val="000000"/>
                <w:sz w:val="20"/>
                <w:szCs w:val="20"/>
              </w:rPr>
            </w:pPr>
            <w:r w:rsidRPr="00746EDE">
              <w:rPr>
                <w:color w:val="000000"/>
                <w:sz w:val="20"/>
                <w:szCs w:val="20"/>
              </w:rPr>
              <w:t>35 061</w:t>
            </w:r>
          </w:p>
        </w:tc>
        <w:tc>
          <w:tcPr>
            <w:tcW w:w="1796" w:type="dxa"/>
            <w:tcBorders>
              <w:right w:val="single" w:sz="12" w:space="0" w:color="auto"/>
            </w:tcBorders>
            <w:shd w:val="clear" w:color="auto" w:fill="D8D8D8"/>
            <w:vAlign w:val="center"/>
          </w:tcPr>
          <w:p w:rsidR="003D770D" w:rsidRPr="00746EDE" w:rsidRDefault="003D770D" w:rsidP="003D770D">
            <w:pPr>
              <w:jc w:val="right"/>
              <w:rPr>
                <w:color w:val="000000"/>
                <w:sz w:val="20"/>
                <w:szCs w:val="20"/>
              </w:rPr>
            </w:pPr>
            <w:r w:rsidRPr="00746EDE">
              <w:rPr>
                <w:color w:val="000000"/>
                <w:sz w:val="20"/>
                <w:szCs w:val="20"/>
              </w:rPr>
              <w:t>15,0%</w:t>
            </w:r>
          </w:p>
        </w:tc>
      </w:tr>
      <w:tr w:rsidR="003D770D" w:rsidRPr="00746EDE" w:rsidTr="00A94FB7">
        <w:trPr>
          <w:trHeight w:val="311"/>
        </w:trPr>
        <w:tc>
          <w:tcPr>
            <w:tcW w:w="4253" w:type="dxa"/>
            <w:tcBorders>
              <w:left w:val="nil"/>
              <w:bottom w:val="nil"/>
              <w:right w:val="nil"/>
            </w:tcBorders>
            <w:shd w:val="clear" w:color="auto" w:fill="4F81BD"/>
            <w:noWrap/>
            <w:vAlign w:val="center"/>
            <w:hideMark/>
          </w:tcPr>
          <w:p w:rsidR="003D770D" w:rsidRPr="00746EDE" w:rsidRDefault="003D770D" w:rsidP="003D770D">
            <w:pPr>
              <w:jc w:val="right"/>
              <w:rPr>
                <w:b/>
                <w:bCs/>
                <w:i/>
                <w:color w:val="FFFFFF"/>
                <w:lang w:eastAsia="bg-BG"/>
              </w:rPr>
            </w:pPr>
            <w:r w:rsidRPr="00746EDE">
              <w:rPr>
                <w:b/>
                <w:bCs/>
                <w:i/>
                <w:color w:val="FFFFFF"/>
                <w:lang w:eastAsia="bg-BG"/>
              </w:rPr>
              <w:t>% of the total revenues</w:t>
            </w:r>
          </w:p>
        </w:tc>
        <w:tc>
          <w:tcPr>
            <w:tcW w:w="1937" w:type="dxa"/>
            <w:vAlign w:val="center"/>
          </w:tcPr>
          <w:p w:rsidR="003D770D" w:rsidRPr="00746EDE" w:rsidRDefault="003D770D" w:rsidP="003D770D">
            <w:pPr>
              <w:jc w:val="right"/>
              <w:rPr>
                <w:color w:val="000000"/>
                <w:sz w:val="20"/>
                <w:szCs w:val="20"/>
              </w:rPr>
            </w:pPr>
            <w:r w:rsidRPr="00746EDE">
              <w:rPr>
                <w:color w:val="000000"/>
                <w:sz w:val="20"/>
                <w:szCs w:val="20"/>
              </w:rPr>
              <w:t>86,3%</w:t>
            </w:r>
          </w:p>
        </w:tc>
        <w:tc>
          <w:tcPr>
            <w:tcW w:w="1937" w:type="dxa"/>
            <w:vAlign w:val="center"/>
          </w:tcPr>
          <w:p w:rsidR="003D770D" w:rsidRPr="00746EDE" w:rsidRDefault="003D770D" w:rsidP="003D770D">
            <w:pPr>
              <w:jc w:val="right"/>
              <w:rPr>
                <w:color w:val="000000"/>
                <w:sz w:val="20"/>
                <w:szCs w:val="20"/>
              </w:rPr>
            </w:pPr>
            <w:r w:rsidRPr="00746EDE">
              <w:rPr>
                <w:color w:val="000000"/>
                <w:sz w:val="20"/>
                <w:szCs w:val="20"/>
              </w:rPr>
              <w:t>86,1%</w:t>
            </w:r>
          </w:p>
        </w:tc>
        <w:tc>
          <w:tcPr>
            <w:tcW w:w="1796" w:type="dxa"/>
            <w:tcBorders>
              <w:right w:val="single" w:sz="12" w:space="0" w:color="auto"/>
            </w:tcBorders>
            <w:vAlign w:val="center"/>
          </w:tcPr>
          <w:p w:rsidR="003D770D" w:rsidRPr="00746EDE" w:rsidRDefault="003D770D" w:rsidP="003D770D">
            <w:pPr>
              <w:jc w:val="right"/>
              <w:rPr>
                <w:color w:val="000000"/>
                <w:sz w:val="20"/>
                <w:szCs w:val="20"/>
              </w:rPr>
            </w:pPr>
          </w:p>
        </w:tc>
      </w:tr>
      <w:tr w:rsidR="003D770D" w:rsidRPr="00746EDE" w:rsidTr="00A94FB7">
        <w:trPr>
          <w:trHeight w:val="311"/>
        </w:trPr>
        <w:tc>
          <w:tcPr>
            <w:tcW w:w="4253" w:type="dxa"/>
            <w:tcBorders>
              <w:left w:val="nil"/>
              <w:bottom w:val="nil"/>
              <w:right w:val="nil"/>
            </w:tcBorders>
            <w:shd w:val="clear" w:color="auto" w:fill="4F81BD"/>
            <w:noWrap/>
            <w:vAlign w:val="center"/>
            <w:hideMark/>
          </w:tcPr>
          <w:p w:rsidR="003D770D" w:rsidRPr="00746EDE" w:rsidRDefault="003D770D" w:rsidP="003D770D">
            <w:pPr>
              <w:rPr>
                <w:b/>
                <w:bCs/>
                <w:color w:val="FFFFFF"/>
                <w:lang w:eastAsia="bg-BG"/>
              </w:rPr>
            </w:pPr>
            <w:r w:rsidRPr="00746EDE">
              <w:rPr>
                <w:b/>
                <w:bCs/>
                <w:color w:val="FFFFFF"/>
                <w:lang w:eastAsia="bg-BG"/>
              </w:rPr>
              <w:t>International market</w:t>
            </w:r>
          </w:p>
        </w:tc>
        <w:tc>
          <w:tcPr>
            <w:tcW w:w="1937" w:type="dxa"/>
            <w:shd w:val="clear" w:color="auto" w:fill="D8D8D8"/>
            <w:vAlign w:val="center"/>
          </w:tcPr>
          <w:p w:rsidR="003D770D" w:rsidRPr="00746EDE" w:rsidRDefault="003D770D" w:rsidP="003D770D">
            <w:pPr>
              <w:jc w:val="right"/>
              <w:rPr>
                <w:color w:val="000000"/>
                <w:sz w:val="20"/>
                <w:szCs w:val="20"/>
              </w:rPr>
            </w:pPr>
            <w:r w:rsidRPr="00746EDE">
              <w:rPr>
                <w:color w:val="000000"/>
                <w:sz w:val="20"/>
                <w:szCs w:val="20"/>
              </w:rPr>
              <w:t>3 043</w:t>
            </w:r>
          </w:p>
        </w:tc>
        <w:tc>
          <w:tcPr>
            <w:tcW w:w="1937" w:type="dxa"/>
            <w:shd w:val="clear" w:color="auto" w:fill="D8D8D8"/>
            <w:vAlign w:val="center"/>
          </w:tcPr>
          <w:p w:rsidR="003D770D" w:rsidRPr="00746EDE" w:rsidRDefault="003D770D" w:rsidP="003D770D">
            <w:pPr>
              <w:jc w:val="right"/>
              <w:rPr>
                <w:color w:val="000000"/>
                <w:sz w:val="20"/>
                <w:szCs w:val="20"/>
              </w:rPr>
            </w:pPr>
            <w:r w:rsidRPr="00746EDE">
              <w:rPr>
                <w:color w:val="000000"/>
                <w:sz w:val="20"/>
                <w:szCs w:val="20"/>
              </w:rPr>
              <w:t>3 129</w:t>
            </w:r>
          </w:p>
        </w:tc>
        <w:tc>
          <w:tcPr>
            <w:tcW w:w="1796" w:type="dxa"/>
            <w:tcBorders>
              <w:right w:val="single" w:sz="12" w:space="0" w:color="auto"/>
            </w:tcBorders>
            <w:shd w:val="clear" w:color="auto" w:fill="D8D8D8"/>
            <w:vAlign w:val="center"/>
          </w:tcPr>
          <w:p w:rsidR="003D770D" w:rsidRPr="00746EDE" w:rsidRDefault="003D770D" w:rsidP="003D770D">
            <w:pPr>
              <w:jc w:val="right"/>
              <w:rPr>
                <w:color w:val="000000"/>
                <w:sz w:val="20"/>
                <w:szCs w:val="20"/>
              </w:rPr>
            </w:pPr>
            <w:r w:rsidRPr="00746EDE">
              <w:rPr>
                <w:color w:val="000000"/>
                <w:sz w:val="20"/>
                <w:szCs w:val="20"/>
              </w:rPr>
              <w:t>2,8%</w:t>
            </w:r>
          </w:p>
        </w:tc>
      </w:tr>
      <w:tr w:rsidR="003D770D" w:rsidRPr="00746EDE" w:rsidTr="00A94FB7">
        <w:trPr>
          <w:trHeight w:val="311"/>
        </w:trPr>
        <w:tc>
          <w:tcPr>
            <w:tcW w:w="4253" w:type="dxa"/>
            <w:tcBorders>
              <w:left w:val="nil"/>
              <w:bottom w:val="nil"/>
              <w:right w:val="nil"/>
            </w:tcBorders>
            <w:shd w:val="clear" w:color="auto" w:fill="4F81BD"/>
            <w:noWrap/>
            <w:vAlign w:val="center"/>
            <w:hideMark/>
          </w:tcPr>
          <w:p w:rsidR="003D770D" w:rsidRPr="00746EDE" w:rsidRDefault="003D770D" w:rsidP="003D770D">
            <w:pPr>
              <w:jc w:val="right"/>
              <w:rPr>
                <w:b/>
                <w:bCs/>
                <w:i/>
                <w:color w:val="FFFFFF"/>
                <w:lang w:eastAsia="bg-BG"/>
              </w:rPr>
            </w:pPr>
            <w:r w:rsidRPr="00746EDE">
              <w:rPr>
                <w:b/>
                <w:bCs/>
                <w:i/>
                <w:color w:val="FFFFFF"/>
                <w:lang w:eastAsia="bg-BG"/>
              </w:rPr>
              <w:t>% of the total revenues</w:t>
            </w:r>
          </w:p>
        </w:tc>
        <w:tc>
          <w:tcPr>
            <w:tcW w:w="1937" w:type="dxa"/>
            <w:vAlign w:val="center"/>
          </w:tcPr>
          <w:p w:rsidR="003D770D" w:rsidRPr="00746EDE" w:rsidRDefault="003D770D" w:rsidP="003D770D">
            <w:pPr>
              <w:jc w:val="right"/>
              <w:rPr>
                <w:color w:val="000000"/>
                <w:sz w:val="20"/>
                <w:szCs w:val="20"/>
              </w:rPr>
            </w:pPr>
            <w:r w:rsidRPr="00746EDE">
              <w:rPr>
                <w:color w:val="000000"/>
                <w:sz w:val="20"/>
                <w:szCs w:val="20"/>
              </w:rPr>
              <w:t>8,6%</w:t>
            </w:r>
          </w:p>
        </w:tc>
        <w:tc>
          <w:tcPr>
            <w:tcW w:w="1937" w:type="dxa"/>
            <w:vAlign w:val="center"/>
          </w:tcPr>
          <w:p w:rsidR="003D770D" w:rsidRPr="00746EDE" w:rsidRDefault="003D770D" w:rsidP="003D770D">
            <w:pPr>
              <w:jc w:val="right"/>
              <w:rPr>
                <w:color w:val="000000"/>
                <w:sz w:val="20"/>
                <w:szCs w:val="20"/>
              </w:rPr>
            </w:pPr>
            <w:r w:rsidRPr="00746EDE">
              <w:rPr>
                <w:color w:val="000000"/>
                <w:sz w:val="20"/>
                <w:szCs w:val="20"/>
              </w:rPr>
              <w:t>7,7%</w:t>
            </w:r>
          </w:p>
        </w:tc>
        <w:tc>
          <w:tcPr>
            <w:tcW w:w="1796" w:type="dxa"/>
            <w:tcBorders>
              <w:right w:val="single" w:sz="12" w:space="0" w:color="auto"/>
            </w:tcBorders>
            <w:vAlign w:val="center"/>
          </w:tcPr>
          <w:p w:rsidR="003D770D" w:rsidRPr="00746EDE" w:rsidRDefault="003D770D" w:rsidP="003D770D">
            <w:pPr>
              <w:jc w:val="right"/>
              <w:rPr>
                <w:color w:val="000000"/>
                <w:sz w:val="20"/>
                <w:szCs w:val="20"/>
              </w:rPr>
            </w:pPr>
          </w:p>
        </w:tc>
      </w:tr>
      <w:tr w:rsidR="003D770D" w:rsidRPr="00746EDE" w:rsidTr="00A94FB7">
        <w:trPr>
          <w:trHeight w:val="311"/>
        </w:trPr>
        <w:tc>
          <w:tcPr>
            <w:tcW w:w="4253" w:type="dxa"/>
            <w:tcBorders>
              <w:left w:val="nil"/>
              <w:bottom w:val="nil"/>
              <w:right w:val="nil"/>
            </w:tcBorders>
            <w:shd w:val="clear" w:color="auto" w:fill="4F81BD"/>
            <w:noWrap/>
            <w:vAlign w:val="center"/>
            <w:hideMark/>
          </w:tcPr>
          <w:p w:rsidR="003D770D" w:rsidRPr="00746EDE" w:rsidRDefault="003D770D" w:rsidP="003D770D">
            <w:pPr>
              <w:rPr>
                <w:b/>
                <w:bCs/>
                <w:color w:val="FFFFFF"/>
                <w:lang w:eastAsia="bg-BG"/>
              </w:rPr>
            </w:pPr>
            <w:r w:rsidRPr="00746EDE">
              <w:rPr>
                <w:b/>
                <w:bCs/>
                <w:color w:val="FFFFFF"/>
                <w:lang w:eastAsia="bg-BG"/>
              </w:rPr>
              <w:t>Others</w:t>
            </w:r>
          </w:p>
        </w:tc>
        <w:tc>
          <w:tcPr>
            <w:tcW w:w="1937" w:type="dxa"/>
            <w:shd w:val="clear" w:color="auto" w:fill="D8D8D8"/>
            <w:vAlign w:val="center"/>
          </w:tcPr>
          <w:p w:rsidR="003D770D" w:rsidRPr="00746EDE" w:rsidRDefault="003D770D" w:rsidP="003D770D">
            <w:pPr>
              <w:jc w:val="right"/>
              <w:rPr>
                <w:color w:val="000000"/>
                <w:sz w:val="20"/>
                <w:szCs w:val="20"/>
              </w:rPr>
            </w:pPr>
            <w:r w:rsidRPr="00746EDE">
              <w:rPr>
                <w:color w:val="000000"/>
                <w:sz w:val="20"/>
                <w:szCs w:val="20"/>
              </w:rPr>
              <w:t>1 802</w:t>
            </w:r>
          </w:p>
        </w:tc>
        <w:tc>
          <w:tcPr>
            <w:tcW w:w="1937" w:type="dxa"/>
            <w:shd w:val="clear" w:color="auto" w:fill="D8D8D8"/>
            <w:vAlign w:val="center"/>
          </w:tcPr>
          <w:p w:rsidR="003D770D" w:rsidRPr="00746EDE" w:rsidRDefault="003D770D" w:rsidP="003D770D">
            <w:pPr>
              <w:jc w:val="right"/>
              <w:rPr>
                <w:color w:val="000000"/>
                <w:sz w:val="20"/>
                <w:szCs w:val="20"/>
              </w:rPr>
            </w:pPr>
            <w:r w:rsidRPr="00746EDE">
              <w:rPr>
                <w:color w:val="000000"/>
                <w:sz w:val="20"/>
                <w:szCs w:val="20"/>
              </w:rPr>
              <w:t>2 533</w:t>
            </w:r>
          </w:p>
        </w:tc>
        <w:tc>
          <w:tcPr>
            <w:tcW w:w="1796" w:type="dxa"/>
            <w:tcBorders>
              <w:right w:val="single" w:sz="12" w:space="0" w:color="auto"/>
            </w:tcBorders>
            <w:shd w:val="clear" w:color="auto" w:fill="D8D8D8"/>
            <w:vAlign w:val="center"/>
          </w:tcPr>
          <w:p w:rsidR="003D770D" w:rsidRPr="00746EDE" w:rsidRDefault="003D770D" w:rsidP="003D770D">
            <w:pPr>
              <w:jc w:val="right"/>
              <w:rPr>
                <w:color w:val="000000"/>
                <w:sz w:val="20"/>
                <w:szCs w:val="20"/>
              </w:rPr>
            </w:pPr>
            <w:r w:rsidRPr="00746EDE">
              <w:rPr>
                <w:color w:val="000000"/>
                <w:sz w:val="20"/>
                <w:szCs w:val="20"/>
              </w:rPr>
              <w:t>40,6%</w:t>
            </w:r>
          </w:p>
        </w:tc>
      </w:tr>
      <w:tr w:rsidR="003D770D" w:rsidRPr="00746EDE" w:rsidTr="00A94FB7">
        <w:trPr>
          <w:trHeight w:val="311"/>
        </w:trPr>
        <w:tc>
          <w:tcPr>
            <w:tcW w:w="4253" w:type="dxa"/>
            <w:tcBorders>
              <w:left w:val="nil"/>
              <w:bottom w:val="nil"/>
              <w:right w:val="nil"/>
            </w:tcBorders>
            <w:shd w:val="clear" w:color="auto" w:fill="4F81BD"/>
            <w:noWrap/>
            <w:vAlign w:val="center"/>
            <w:hideMark/>
          </w:tcPr>
          <w:p w:rsidR="003D770D" w:rsidRPr="00746EDE" w:rsidRDefault="003D770D" w:rsidP="003D770D">
            <w:pPr>
              <w:jc w:val="right"/>
              <w:rPr>
                <w:b/>
                <w:bCs/>
                <w:i/>
                <w:color w:val="FFFFFF"/>
                <w:lang w:eastAsia="bg-BG"/>
              </w:rPr>
            </w:pPr>
            <w:r w:rsidRPr="00746EDE">
              <w:rPr>
                <w:b/>
                <w:bCs/>
                <w:i/>
                <w:color w:val="FFFFFF"/>
                <w:lang w:eastAsia="bg-BG"/>
              </w:rPr>
              <w:t>% of the total revenues</w:t>
            </w:r>
          </w:p>
        </w:tc>
        <w:tc>
          <w:tcPr>
            <w:tcW w:w="1937" w:type="dxa"/>
            <w:vAlign w:val="center"/>
          </w:tcPr>
          <w:p w:rsidR="003D770D" w:rsidRPr="00746EDE" w:rsidRDefault="003D770D" w:rsidP="003D770D">
            <w:pPr>
              <w:jc w:val="right"/>
              <w:rPr>
                <w:color w:val="000000"/>
                <w:sz w:val="20"/>
                <w:szCs w:val="20"/>
              </w:rPr>
            </w:pPr>
            <w:r w:rsidRPr="00746EDE">
              <w:rPr>
                <w:color w:val="000000"/>
                <w:sz w:val="20"/>
                <w:szCs w:val="20"/>
              </w:rPr>
              <w:t>5,1%</w:t>
            </w:r>
          </w:p>
        </w:tc>
        <w:tc>
          <w:tcPr>
            <w:tcW w:w="1937" w:type="dxa"/>
            <w:vAlign w:val="center"/>
          </w:tcPr>
          <w:p w:rsidR="003D770D" w:rsidRPr="00746EDE" w:rsidRDefault="003D770D" w:rsidP="003D770D">
            <w:pPr>
              <w:jc w:val="right"/>
              <w:rPr>
                <w:color w:val="000000"/>
                <w:sz w:val="20"/>
                <w:szCs w:val="20"/>
              </w:rPr>
            </w:pPr>
            <w:r w:rsidRPr="00746EDE">
              <w:rPr>
                <w:color w:val="000000"/>
                <w:sz w:val="20"/>
                <w:szCs w:val="20"/>
              </w:rPr>
              <w:t>6,2%</w:t>
            </w:r>
          </w:p>
        </w:tc>
        <w:tc>
          <w:tcPr>
            <w:tcW w:w="1796" w:type="dxa"/>
            <w:tcBorders>
              <w:right w:val="single" w:sz="12" w:space="0" w:color="auto"/>
            </w:tcBorders>
            <w:vAlign w:val="center"/>
          </w:tcPr>
          <w:p w:rsidR="003D770D" w:rsidRPr="00746EDE" w:rsidRDefault="003D770D" w:rsidP="003D770D">
            <w:pPr>
              <w:jc w:val="right"/>
              <w:rPr>
                <w:color w:val="000000"/>
                <w:sz w:val="20"/>
                <w:szCs w:val="20"/>
              </w:rPr>
            </w:pPr>
          </w:p>
        </w:tc>
      </w:tr>
      <w:tr w:rsidR="003D770D" w:rsidRPr="00746EDE" w:rsidTr="00A94FB7">
        <w:trPr>
          <w:trHeight w:val="311"/>
        </w:trPr>
        <w:tc>
          <w:tcPr>
            <w:tcW w:w="4253" w:type="dxa"/>
            <w:tcBorders>
              <w:left w:val="nil"/>
              <w:bottom w:val="nil"/>
              <w:right w:val="nil"/>
            </w:tcBorders>
            <w:shd w:val="clear" w:color="auto" w:fill="4F81BD"/>
            <w:noWrap/>
            <w:vAlign w:val="center"/>
            <w:hideMark/>
          </w:tcPr>
          <w:p w:rsidR="003D770D" w:rsidRPr="00746EDE" w:rsidRDefault="003D770D" w:rsidP="003D770D">
            <w:pPr>
              <w:rPr>
                <w:b/>
                <w:bCs/>
                <w:color w:val="FFFFFF"/>
                <w:lang w:eastAsia="bg-BG"/>
              </w:rPr>
            </w:pPr>
            <w:r w:rsidRPr="00746EDE">
              <w:rPr>
                <w:b/>
                <w:bCs/>
                <w:color w:val="FFFFFF"/>
                <w:lang w:eastAsia="bg-BG"/>
              </w:rPr>
              <w:t>Number of parcels delivered</w:t>
            </w:r>
          </w:p>
        </w:tc>
        <w:tc>
          <w:tcPr>
            <w:tcW w:w="1937" w:type="dxa"/>
            <w:shd w:val="clear" w:color="auto" w:fill="D8D8D8"/>
            <w:vAlign w:val="center"/>
          </w:tcPr>
          <w:p w:rsidR="003D770D" w:rsidRPr="00746EDE" w:rsidRDefault="003D770D" w:rsidP="003D770D">
            <w:pPr>
              <w:jc w:val="right"/>
              <w:rPr>
                <w:color w:val="000000"/>
                <w:sz w:val="20"/>
                <w:szCs w:val="20"/>
              </w:rPr>
            </w:pPr>
            <w:r w:rsidRPr="00746EDE">
              <w:rPr>
                <w:color w:val="000000"/>
                <w:sz w:val="20"/>
                <w:szCs w:val="20"/>
              </w:rPr>
              <w:t>5 592</w:t>
            </w:r>
          </w:p>
        </w:tc>
        <w:tc>
          <w:tcPr>
            <w:tcW w:w="1937" w:type="dxa"/>
            <w:shd w:val="clear" w:color="auto" w:fill="D8D8D8"/>
            <w:vAlign w:val="center"/>
          </w:tcPr>
          <w:p w:rsidR="003D770D" w:rsidRPr="00746EDE" w:rsidRDefault="003D770D" w:rsidP="003D770D">
            <w:pPr>
              <w:jc w:val="right"/>
              <w:rPr>
                <w:color w:val="000000"/>
                <w:sz w:val="20"/>
                <w:szCs w:val="20"/>
              </w:rPr>
            </w:pPr>
            <w:r w:rsidRPr="00746EDE">
              <w:rPr>
                <w:color w:val="000000"/>
                <w:sz w:val="20"/>
                <w:szCs w:val="20"/>
              </w:rPr>
              <w:t>6 384</w:t>
            </w:r>
          </w:p>
        </w:tc>
        <w:tc>
          <w:tcPr>
            <w:tcW w:w="1796" w:type="dxa"/>
            <w:tcBorders>
              <w:right w:val="single" w:sz="12" w:space="0" w:color="auto"/>
            </w:tcBorders>
            <w:shd w:val="clear" w:color="auto" w:fill="D8D8D8"/>
            <w:vAlign w:val="center"/>
          </w:tcPr>
          <w:p w:rsidR="003D770D" w:rsidRPr="00746EDE" w:rsidRDefault="003D770D" w:rsidP="003D770D">
            <w:pPr>
              <w:jc w:val="right"/>
              <w:rPr>
                <w:color w:val="000000"/>
                <w:sz w:val="20"/>
                <w:szCs w:val="20"/>
              </w:rPr>
            </w:pPr>
            <w:r w:rsidRPr="00746EDE">
              <w:rPr>
                <w:color w:val="000000"/>
                <w:sz w:val="20"/>
                <w:szCs w:val="20"/>
              </w:rPr>
              <w:t>14,2%</w:t>
            </w:r>
          </w:p>
        </w:tc>
      </w:tr>
      <w:tr w:rsidR="003D770D" w:rsidRPr="00746EDE" w:rsidTr="00A94FB7">
        <w:trPr>
          <w:trHeight w:val="311"/>
        </w:trPr>
        <w:tc>
          <w:tcPr>
            <w:tcW w:w="4253" w:type="dxa"/>
            <w:tcBorders>
              <w:top w:val="double" w:sz="6" w:space="0" w:color="auto"/>
              <w:left w:val="nil"/>
              <w:bottom w:val="single" w:sz="18" w:space="0" w:color="auto"/>
              <w:right w:val="nil"/>
            </w:tcBorders>
            <w:shd w:val="clear" w:color="auto" w:fill="FFFFFF"/>
            <w:noWrap/>
            <w:vAlign w:val="center"/>
            <w:hideMark/>
          </w:tcPr>
          <w:p w:rsidR="003D770D" w:rsidRPr="00746EDE" w:rsidRDefault="003D770D" w:rsidP="003D770D">
            <w:pPr>
              <w:rPr>
                <w:b/>
                <w:bCs/>
                <w:color w:val="000000"/>
                <w:lang w:eastAsia="bg-BG"/>
              </w:rPr>
            </w:pPr>
            <w:r w:rsidRPr="00746EDE">
              <w:rPr>
                <w:b/>
                <w:bCs/>
                <w:color w:val="000000"/>
                <w:lang w:eastAsia="bg-BG"/>
              </w:rPr>
              <w:t>Total revenues</w:t>
            </w:r>
          </w:p>
        </w:tc>
        <w:tc>
          <w:tcPr>
            <w:tcW w:w="1937" w:type="dxa"/>
            <w:tcBorders>
              <w:top w:val="double" w:sz="6" w:space="0" w:color="auto"/>
              <w:left w:val="nil"/>
              <w:bottom w:val="single" w:sz="18" w:space="0" w:color="auto"/>
              <w:right w:val="nil"/>
            </w:tcBorders>
            <w:shd w:val="clear" w:color="auto" w:fill="FFFFFF"/>
            <w:vAlign w:val="center"/>
          </w:tcPr>
          <w:p w:rsidR="003D770D" w:rsidRPr="00746EDE" w:rsidRDefault="003D770D" w:rsidP="003D770D">
            <w:pPr>
              <w:jc w:val="right"/>
              <w:rPr>
                <w:b/>
                <w:color w:val="000000"/>
                <w:sz w:val="20"/>
                <w:szCs w:val="20"/>
              </w:rPr>
            </w:pPr>
            <w:r w:rsidRPr="00746EDE">
              <w:rPr>
                <w:b/>
                <w:color w:val="000000"/>
                <w:sz w:val="20"/>
                <w:szCs w:val="20"/>
              </w:rPr>
              <w:t>35 331</w:t>
            </w:r>
          </w:p>
        </w:tc>
        <w:tc>
          <w:tcPr>
            <w:tcW w:w="1937" w:type="dxa"/>
            <w:tcBorders>
              <w:top w:val="double" w:sz="6" w:space="0" w:color="auto"/>
              <w:left w:val="nil"/>
              <w:bottom w:val="single" w:sz="18" w:space="0" w:color="auto"/>
              <w:right w:val="nil"/>
            </w:tcBorders>
            <w:shd w:val="clear" w:color="auto" w:fill="FFFFFF"/>
            <w:vAlign w:val="center"/>
          </w:tcPr>
          <w:p w:rsidR="003D770D" w:rsidRPr="00746EDE" w:rsidRDefault="003D770D" w:rsidP="003D770D">
            <w:pPr>
              <w:jc w:val="right"/>
              <w:rPr>
                <w:b/>
                <w:color w:val="000000"/>
                <w:sz w:val="20"/>
                <w:szCs w:val="20"/>
              </w:rPr>
            </w:pPr>
            <w:r w:rsidRPr="00746EDE">
              <w:rPr>
                <w:b/>
                <w:color w:val="000000"/>
                <w:sz w:val="20"/>
                <w:szCs w:val="20"/>
              </w:rPr>
              <w:t>40 723</w:t>
            </w:r>
          </w:p>
        </w:tc>
        <w:tc>
          <w:tcPr>
            <w:tcW w:w="1796" w:type="dxa"/>
            <w:tcBorders>
              <w:top w:val="double" w:sz="6" w:space="0" w:color="auto"/>
              <w:left w:val="nil"/>
              <w:bottom w:val="single" w:sz="18" w:space="0" w:color="auto"/>
              <w:right w:val="single" w:sz="12" w:space="0" w:color="auto"/>
            </w:tcBorders>
            <w:shd w:val="clear" w:color="auto" w:fill="FFFFFF"/>
            <w:vAlign w:val="center"/>
          </w:tcPr>
          <w:p w:rsidR="003D770D" w:rsidRPr="00746EDE" w:rsidRDefault="003D770D" w:rsidP="003D770D">
            <w:pPr>
              <w:jc w:val="right"/>
              <w:rPr>
                <w:b/>
                <w:color w:val="000000"/>
                <w:sz w:val="20"/>
                <w:szCs w:val="20"/>
              </w:rPr>
            </w:pPr>
            <w:r w:rsidRPr="00746EDE">
              <w:rPr>
                <w:b/>
                <w:color w:val="000000"/>
                <w:sz w:val="20"/>
                <w:szCs w:val="20"/>
              </w:rPr>
              <w:t>15,3%</w:t>
            </w:r>
          </w:p>
        </w:tc>
      </w:tr>
    </w:tbl>
    <w:p w:rsidR="00126481" w:rsidRPr="00746EDE" w:rsidRDefault="00126481" w:rsidP="0012425E">
      <w:pPr>
        <w:pStyle w:val="BodyText"/>
        <w:spacing w:after="120"/>
        <w:ind w:right="-180"/>
        <w:rPr>
          <w:lang w:val="en-GB"/>
        </w:rPr>
      </w:pPr>
    </w:p>
    <w:p w:rsidR="001108C1" w:rsidRPr="00746EDE" w:rsidRDefault="001108C1" w:rsidP="0012425E">
      <w:pPr>
        <w:pStyle w:val="BodyText"/>
        <w:spacing w:after="120"/>
        <w:ind w:right="-180"/>
        <w:rPr>
          <w:lang w:val="en-GB"/>
        </w:rPr>
      </w:pPr>
      <w:r w:rsidRPr="00746EDE">
        <w:rPr>
          <w:lang w:val="en-GB"/>
        </w:rPr>
        <w:t>On the local market, the trend for high sales growth is continuing and during the 2</w:t>
      </w:r>
      <w:r w:rsidRPr="00746EDE">
        <w:rPr>
          <w:vertAlign w:val="superscript"/>
          <w:lang w:val="en-GB"/>
        </w:rPr>
        <w:t>nd</w:t>
      </w:r>
      <w:r w:rsidRPr="00746EDE">
        <w:rPr>
          <w:lang w:val="en-GB"/>
        </w:rPr>
        <w:t xml:space="preserve"> quarter, it even accelerates. On non-consolidated basis the growth reached 15</w:t>
      </w:r>
      <w:proofErr w:type="gramStart"/>
      <w:r w:rsidRPr="00746EDE">
        <w:rPr>
          <w:lang w:val="en-GB"/>
        </w:rPr>
        <w:t>,3</w:t>
      </w:r>
      <w:proofErr w:type="gramEnd"/>
      <w:r w:rsidRPr="00746EDE">
        <w:rPr>
          <w:lang w:val="en-GB"/>
        </w:rPr>
        <w:t xml:space="preserve">%. The main contributor are pallet services, where the company foresee considerable potential, and parcels up to 31 kg, where </w:t>
      </w:r>
      <w:r w:rsidR="00224EEE" w:rsidRPr="00746EDE">
        <w:rPr>
          <w:lang w:val="en-GB"/>
        </w:rPr>
        <w:t>stable growth comes from both corporate and individual clients. International parcels also increased, though with a slower pace.</w:t>
      </w:r>
    </w:p>
    <w:p w:rsidR="00224EEE" w:rsidRPr="00746EDE" w:rsidRDefault="00224EEE" w:rsidP="0012425E">
      <w:pPr>
        <w:pStyle w:val="BodyText"/>
        <w:spacing w:after="120"/>
        <w:ind w:right="-180"/>
        <w:rPr>
          <w:lang w:val="en-GB"/>
        </w:rPr>
      </w:pPr>
      <w:r w:rsidRPr="00746EDE">
        <w:rPr>
          <w:lang w:val="en-GB"/>
        </w:rPr>
        <w:t>Other revenue jumped by 40</w:t>
      </w:r>
      <w:proofErr w:type="gramStart"/>
      <w:r w:rsidRPr="00746EDE">
        <w:rPr>
          <w:lang w:val="en-GB"/>
        </w:rPr>
        <w:t>,6</w:t>
      </w:r>
      <w:proofErr w:type="gramEnd"/>
      <w:r w:rsidRPr="00746EDE">
        <w:rPr>
          <w:lang w:val="en-GB"/>
        </w:rPr>
        <w:t xml:space="preserve">%. The latter </w:t>
      </w:r>
      <w:proofErr w:type="gramStart"/>
      <w:r w:rsidRPr="00746EDE">
        <w:rPr>
          <w:lang w:val="en-GB"/>
        </w:rPr>
        <w:t>are related</w:t>
      </w:r>
      <w:proofErr w:type="gramEnd"/>
      <w:r w:rsidRPr="00746EDE">
        <w:rPr>
          <w:lang w:val="en-GB"/>
        </w:rPr>
        <w:t xml:space="preserve"> with the company core activity and are recurring.</w:t>
      </w:r>
    </w:p>
    <w:p w:rsidR="00224EEE" w:rsidRPr="00746EDE" w:rsidRDefault="00224EEE" w:rsidP="0012425E">
      <w:pPr>
        <w:pStyle w:val="BodyText"/>
        <w:spacing w:after="120"/>
        <w:ind w:right="-180"/>
        <w:rPr>
          <w:lang w:val="en-GB"/>
        </w:rPr>
      </w:pPr>
      <w:r w:rsidRPr="00746EDE">
        <w:rPr>
          <w:lang w:val="en-GB"/>
        </w:rPr>
        <w:t xml:space="preserve">Since 2013, Speedy, Jsc has been relying increasingly on subcontractors in various stages of logistic process in </w:t>
      </w:r>
      <w:r w:rsidR="008F3036" w:rsidRPr="00746EDE">
        <w:rPr>
          <w:lang w:val="en-GB"/>
        </w:rPr>
        <w:t xml:space="preserve">order to optimize its expenses. The excess vehicles </w:t>
      </w:r>
      <w:proofErr w:type="gramStart"/>
      <w:r w:rsidR="008F3036" w:rsidRPr="00746EDE">
        <w:rPr>
          <w:lang w:val="en-GB"/>
        </w:rPr>
        <w:t>are rented out</w:t>
      </w:r>
      <w:proofErr w:type="gramEnd"/>
      <w:r w:rsidR="008F3036" w:rsidRPr="00746EDE">
        <w:rPr>
          <w:lang w:val="en-GB"/>
        </w:rPr>
        <w:t xml:space="preserve"> to the subcontractors.</w:t>
      </w:r>
    </w:p>
    <w:p w:rsidR="008F3036" w:rsidRPr="00746EDE" w:rsidRDefault="008F3036" w:rsidP="0012425E">
      <w:pPr>
        <w:pStyle w:val="BodyText"/>
        <w:spacing w:after="120"/>
        <w:ind w:right="-180"/>
        <w:rPr>
          <w:lang w:val="en-GB"/>
        </w:rPr>
      </w:pPr>
      <w:r w:rsidRPr="00746EDE">
        <w:rPr>
          <w:lang w:val="en-GB"/>
        </w:rPr>
        <w:t xml:space="preserve">Because of higher revenue base and maturing </w:t>
      </w:r>
      <w:r w:rsidR="00506CE2" w:rsidRPr="00746EDE">
        <w:rPr>
          <w:lang w:val="en-GB"/>
        </w:rPr>
        <w:t xml:space="preserve">courier services </w:t>
      </w:r>
      <w:r w:rsidRPr="00746EDE">
        <w:rPr>
          <w:lang w:val="en-GB"/>
        </w:rPr>
        <w:t>market</w:t>
      </w:r>
      <w:r w:rsidR="00506CE2" w:rsidRPr="00746EDE">
        <w:rPr>
          <w:lang w:val="en-GB"/>
        </w:rPr>
        <w:t>, the pace of growth is lower than previous years but still we see a potential for growth above 10% in mid term.</w:t>
      </w:r>
    </w:p>
    <w:p w:rsidR="004D6FCF" w:rsidRPr="00746EDE" w:rsidRDefault="004D6FCF" w:rsidP="00EE0489">
      <w:pPr>
        <w:pStyle w:val="BodyText"/>
        <w:spacing w:after="120"/>
        <w:ind w:right="-180"/>
        <w:jc w:val="center"/>
        <w:rPr>
          <w:i/>
          <w:u w:val="single"/>
          <w:lang w:val="en-GB"/>
        </w:rPr>
      </w:pPr>
    </w:p>
    <w:p w:rsidR="004D6FCF" w:rsidRPr="00746EDE" w:rsidRDefault="004D6FCF" w:rsidP="00EE0489">
      <w:pPr>
        <w:pStyle w:val="BodyText"/>
        <w:spacing w:after="120"/>
        <w:ind w:right="-180"/>
        <w:jc w:val="center"/>
        <w:rPr>
          <w:i/>
          <w:u w:val="single"/>
          <w:lang w:val="en-GB"/>
        </w:rPr>
      </w:pPr>
    </w:p>
    <w:p w:rsidR="004D6FCF" w:rsidRPr="00746EDE" w:rsidRDefault="004D6FCF" w:rsidP="00EE0489">
      <w:pPr>
        <w:pStyle w:val="BodyText"/>
        <w:spacing w:after="120"/>
        <w:ind w:right="-180"/>
        <w:jc w:val="center"/>
        <w:rPr>
          <w:i/>
          <w:u w:val="single"/>
          <w:lang w:val="en-GB"/>
        </w:rPr>
      </w:pPr>
    </w:p>
    <w:p w:rsidR="004D6FCF" w:rsidRPr="00746EDE" w:rsidRDefault="004D6FCF" w:rsidP="00EE0489">
      <w:pPr>
        <w:pStyle w:val="BodyText"/>
        <w:spacing w:after="120"/>
        <w:ind w:right="-180"/>
        <w:jc w:val="center"/>
        <w:rPr>
          <w:i/>
          <w:u w:val="single"/>
          <w:lang w:val="en-GB"/>
        </w:rPr>
      </w:pPr>
    </w:p>
    <w:p w:rsidR="004D6FCF" w:rsidRPr="00746EDE" w:rsidRDefault="004D6FCF" w:rsidP="00EE0489">
      <w:pPr>
        <w:pStyle w:val="BodyText"/>
        <w:spacing w:after="120"/>
        <w:ind w:right="-180"/>
        <w:jc w:val="center"/>
        <w:rPr>
          <w:i/>
          <w:u w:val="single"/>
          <w:lang w:val="en-GB"/>
        </w:rPr>
      </w:pPr>
    </w:p>
    <w:p w:rsidR="004D6FCF" w:rsidRPr="00746EDE" w:rsidRDefault="004D6FCF" w:rsidP="004D6FCF">
      <w:pPr>
        <w:pStyle w:val="BodyText"/>
        <w:spacing w:after="120"/>
        <w:ind w:right="-180"/>
        <w:jc w:val="center"/>
        <w:rPr>
          <w:i/>
          <w:u w:val="single"/>
          <w:lang w:val="en-GB"/>
        </w:rPr>
      </w:pPr>
      <w:r w:rsidRPr="00746EDE">
        <w:rPr>
          <w:i/>
          <w:u w:val="single"/>
          <w:lang w:val="en-GB"/>
        </w:rPr>
        <w:lastRenderedPageBreak/>
        <w:t>Revenue Structure, consolidated</w:t>
      </w:r>
    </w:p>
    <w:tbl>
      <w:tblPr>
        <w:tblW w:w="9923" w:type="dxa"/>
        <w:tblBorders>
          <w:top w:val="single" w:sz="18" w:space="0" w:color="auto"/>
          <w:bottom w:val="single" w:sz="18" w:space="0" w:color="auto"/>
        </w:tblBorders>
        <w:tblLayout w:type="fixed"/>
        <w:tblLook w:val="04E0" w:firstRow="1" w:lastRow="1" w:firstColumn="1" w:lastColumn="0" w:noHBand="0" w:noVBand="1"/>
      </w:tblPr>
      <w:tblGrid>
        <w:gridCol w:w="4253"/>
        <w:gridCol w:w="1937"/>
        <w:gridCol w:w="1937"/>
        <w:gridCol w:w="1796"/>
      </w:tblGrid>
      <w:tr w:rsidR="004D6FCF" w:rsidRPr="00746EDE" w:rsidTr="00A94FB7">
        <w:trPr>
          <w:trHeight w:val="311"/>
        </w:trPr>
        <w:tc>
          <w:tcPr>
            <w:tcW w:w="4253" w:type="dxa"/>
            <w:tcBorders>
              <w:top w:val="single" w:sz="18" w:space="0" w:color="auto"/>
              <w:left w:val="nil"/>
              <w:bottom w:val="single" w:sz="18" w:space="0" w:color="auto"/>
              <w:right w:val="nil"/>
            </w:tcBorders>
            <w:shd w:val="clear" w:color="auto" w:fill="4F81BD"/>
            <w:noWrap/>
            <w:vAlign w:val="center"/>
            <w:hideMark/>
          </w:tcPr>
          <w:p w:rsidR="004D6FCF" w:rsidRPr="00746EDE" w:rsidRDefault="004D6FCF" w:rsidP="004D6FCF">
            <w:pPr>
              <w:jc w:val="center"/>
              <w:rPr>
                <w:b/>
                <w:bCs/>
                <w:color w:val="FFFFFF"/>
                <w:lang w:eastAsia="bg-BG"/>
              </w:rPr>
            </w:pPr>
            <w:r w:rsidRPr="00746EDE">
              <w:rPr>
                <w:b/>
                <w:bCs/>
                <w:color w:val="FFFFFF"/>
                <w:lang w:eastAsia="bg-BG"/>
              </w:rPr>
              <w:t>In BGN ‘000</w:t>
            </w:r>
          </w:p>
        </w:tc>
        <w:tc>
          <w:tcPr>
            <w:tcW w:w="1937" w:type="dxa"/>
            <w:tcBorders>
              <w:top w:val="single" w:sz="18" w:space="0" w:color="auto"/>
              <w:left w:val="nil"/>
              <w:bottom w:val="single" w:sz="18" w:space="0" w:color="auto"/>
              <w:right w:val="nil"/>
            </w:tcBorders>
            <w:shd w:val="clear" w:color="auto" w:fill="4F81BD"/>
          </w:tcPr>
          <w:p w:rsidR="004D6FCF" w:rsidRPr="00746EDE" w:rsidRDefault="004D6FCF" w:rsidP="004D6FCF">
            <w:pPr>
              <w:jc w:val="center"/>
              <w:rPr>
                <w:b/>
                <w:bCs/>
                <w:color w:val="FFFFFF"/>
              </w:rPr>
            </w:pPr>
            <w:r w:rsidRPr="00746EDE">
              <w:rPr>
                <w:b/>
                <w:bCs/>
                <w:color w:val="FFFFFF"/>
              </w:rPr>
              <w:t>Н1 14</w:t>
            </w:r>
          </w:p>
        </w:tc>
        <w:tc>
          <w:tcPr>
            <w:tcW w:w="1937" w:type="dxa"/>
            <w:tcBorders>
              <w:top w:val="single" w:sz="18" w:space="0" w:color="auto"/>
              <w:left w:val="nil"/>
              <w:bottom w:val="single" w:sz="18" w:space="0" w:color="auto"/>
              <w:right w:val="nil"/>
            </w:tcBorders>
            <w:shd w:val="clear" w:color="auto" w:fill="4F81BD"/>
          </w:tcPr>
          <w:p w:rsidR="004D6FCF" w:rsidRPr="00746EDE" w:rsidRDefault="004D6FCF" w:rsidP="004D6FCF">
            <w:pPr>
              <w:jc w:val="center"/>
              <w:rPr>
                <w:b/>
                <w:bCs/>
                <w:color w:val="FFFFFF"/>
              </w:rPr>
            </w:pPr>
            <w:r w:rsidRPr="00746EDE">
              <w:rPr>
                <w:b/>
                <w:bCs/>
                <w:color w:val="FFFFFF"/>
              </w:rPr>
              <w:t>Н1 15</w:t>
            </w:r>
          </w:p>
        </w:tc>
        <w:tc>
          <w:tcPr>
            <w:tcW w:w="1796" w:type="dxa"/>
            <w:tcBorders>
              <w:top w:val="single" w:sz="18" w:space="0" w:color="auto"/>
              <w:left w:val="nil"/>
              <w:bottom w:val="single" w:sz="18" w:space="0" w:color="auto"/>
              <w:right w:val="single" w:sz="12" w:space="0" w:color="auto"/>
            </w:tcBorders>
            <w:shd w:val="clear" w:color="auto" w:fill="4F81BD"/>
            <w:vAlign w:val="center"/>
          </w:tcPr>
          <w:p w:rsidR="004D6FCF" w:rsidRPr="00746EDE" w:rsidRDefault="004D6FCF" w:rsidP="004D6FCF">
            <w:pPr>
              <w:jc w:val="center"/>
              <w:rPr>
                <w:b/>
                <w:bCs/>
                <w:color w:val="FFFFFF"/>
              </w:rPr>
            </w:pPr>
            <w:r w:rsidRPr="00746EDE">
              <w:rPr>
                <w:b/>
                <w:bCs/>
                <w:color w:val="FFFFFF"/>
              </w:rPr>
              <w:t>Change</w:t>
            </w:r>
          </w:p>
        </w:tc>
      </w:tr>
      <w:tr w:rsidR="004D6FCF" w:rsidRPr="00746EDE" w:rsidTr="00A94FB7">
        <w:trPr>
          <w:trHeight w:val="311"/>
        </w:trPr>
        <w:tc>
          <w:tcPr>
            <w:tcW w:w="4253" w:type="dxa"/>
            <w:tcBorders>
              <w:left w:val="nil"/>
              <w:bottom w:val="nil"/>
              <w:right w:val="nil"/>
            </w:tcBorders>
            <w:shd w:val="clear" w:color="auto" w:fill="4F81BD"/>
            <w:noWrap/>
            <w:vAlign w:val="center"/>
            <w:hideMark/>
          </w:tcPr>
          <w:p w:rsidR="004D6FCF" w:rsidRPr="00746EDE" w:rsidRDefault="004D6FCF" w:rsidP="004D6FCF">
            <w:pPr>
              <w:rPr>
                <w:b/>
                <w:bCs/>
                <w:color w:val="FFFFFF"/>
                <w:lang w:eastAsia="bg-BG"/>
              </w:rPr>
            </w:pPr>
            <w:r w:rsidRPr="00746EDE">
              <w:rPr>
                <w:b/>
                <w:bCs/>
                <w:color w:val="FFFFFF"/>
                <w:lang w:eastAsia="bg-BG"/>
              </w:rPr>
              <w:t>Domestic market</w:t>
            </w:r>
          </w:p>
        </w:tc>
        <w:tc>
          <w:tcPr>
            <w:tcW w:w="1937" w:type="dxa"/>
            <w:shd w:val="clear" w:color="auto" w:fill="D8D8D8"/>
            <w:vAlign w:val="center"/>
          </w:tcPr>
          <w:p w:rsidR="004D6FCF" w:rsidRPr="00746EDE" w:rsidRDefault="004D6FCF" w:rsidP="004D6FCF">
            <w:pPr>
              <w:jc w:val="right"/>
              <w:rPr>
                <w:color w:val="000000"/>
                <w:sz w:val="20"/>
                <w:szCs w:val="20"/>
              </w:rPr>
            </w:pPr>
            <w:r w:rsidRPr="00746EDE">
              <w:rPr>
                <w:color w:val="000000"/>
                <w:sz w:val="20"/>
                <w:szCs w:val="20"/>
              </w:rPr>
              <w:t>30 486</w:t>
            </w:r>
          </w:p>
        </w:tc>
        <w:tc>
          <w:tcPr>
            <w:tcW w:w="1937" w:type="dxa"/>
            <w:shd w:val="clear" w:color="auto" w:fill="D8D8D8"/>
            <w:vAlign w:val="center"/>
          </w:tcPr>
          <w:p w:rsidR="004D6FCF" w:rsidRPr="00746EDE" w:rsidRDefault="004D6FCF" w:rsidP="004D6FCF">
            <w:pPr>
              <w:jc w:val="right"/>
              <w:rPr>
                <w:color w:val="000000"/>
                <w:sz w:val="20"/>
                <w:szCs w:val="20"/>
              </w:rPr>
            </w:pPr>
            <w:r w:rsidRPr="00746EDE">
              <w:rPr>
                <w:color w:val="000000"/>
                <w:sz w:val="20"/>
                <w:szCs w:val="20"/>
              </w:rPr>
              <w:t>35 061</w:t>
            </w:r>
          </w:p>
        </w:tc>
        <w:tc>
          <w:tcPr>
            <w:tcW w:w="1796" w:type="dxa"/>
            <w:tcBorders>
              <w:right w:val="single" w:sz="12" w:space="0" w:color="auto"/>
            </w:tcBorders>
            <w:shd w:val="clear" w:color="auto" w:fill="D8D8D8"/>
            <w:vAlign w:val="center"/>
          </w:tcPr>
          <w:p w:rsidR="004D6FCF" w:rsidRPr="00746EDE" w:rsidRDefault="004D6FCF" w:rsidP="004D6FCF">
            <w:pPr>
              <w:jc w:val="right"/>
              <w:rPr>
                <w:color w:val="000000"/>
                <w:sz w:val="20"/>
                <w:szCs w:val="20"/>
              </w:rPr>
            </w:pPr>
            <w:r w:rsidRPr="00746EDE">
              <w:rPr>
                <w:color w:val="000000"/>
                <w:sz w:val="20"/>
                <w:szCs w:val="20"/>
              </w:rPr>
              <w:t>15,0%</w:t>
            </w:r>
          </w:p>
        </w:tc>
      </w:tr>
      <w:tr w:rsidR="004D6FCF" w:rsidRPr="00746EDE" w:rsidTr="00A94FB7">
        <w:trPr>
          <w:trHeight w:val="311"/>
        </w:trPr>
        <w:tc>
          <w:tcPr>
            <w:tcW w:w="4253" w:type="dxa"/>
            <w:tcBorders>
              <w:left w:val="nil"/>
              <w:bottom w:val="nil"/>
              <w:right w:val="nil"/>
            </w:tcBorders>
            <w:shd w:val="clear" w:color="auto" w:fill="4F81BD"/>
            <w:noWrap/>
            <w:vAlign w:val="center"/>
            <w:hideMark/>
          </w:tcPr>
          <w:p w:rsidR="004D6FCF" w:rsidRPr="00746EDE" w:rsidRDefault="004D6FCF" w:rsidP="004D6FCF">
            <w:pPr>
              <w:jc w:val="right"/>
              <w:rPr>
                <w:b/>
                <w:bCs/>
                <w:i/>
                <w:color w:val="FFFFFF"/>
                <w:lang w:eastAsia="bg-BG"/>
              </w:rPr>
            </w:pPr>
            <w:r w:rsidRPr="00746EDE">
              <w:rPr>
                <w:b/>
                <w:bCs/>
                <w:i/>
                <w:color w:val="FFFFFF"/>
                <w:lang w:eastAsia="bg-BG"/>
              </w:rPr>
              <w:t>% of the total revenues</w:t>
            </w:r>
          </w:p>
        </w:tc>
        <w:tc>
          <w:tcPr>
            <w:tcW w:w="1937" w:type="dxa"/>
            <w:vAlign w:val="center"/>
          </w:tcPr>
          <w:p w:rsidR="004D6FCF" w:rsidRPr="00746EDE" w:rsidRDefault="004D6FCF" w:rsidP="004D6FCF">
            <w:pPr>
              <w:jc w:val="right"/>
              <w:rPr>
                <w:color w:val="000000"/>
                <w:sz w:val="20"/>
                <w:szCs w:val="20"/>
              </w:rPr>
            </w:pPr>
            <w:r w:rsidRPr="00746EDE">
              <w:rPr>
                <w:color w:val="000000"/>
                <w:sz w:val="20"/>
                <w:szCs w:val="20"/>
              </w:rPr>
              <w:t>86,23%</w:t>
            </w:r>
          </w:p>
        </w:tc>
        <w:tc>
          <w:tcPr>
            <w:tcW w:w="1937" w:type="dxa"/>
            <w:vAlign w:val="center"/>
          </w:tcPr>
          <w:p w:rsidR="004D6FCF" w:rsidRPr="00746EDE" w:rsidRDefault="004D6FCF" w:rsidP="004D6FCF">
            <w:pPr>
              <w:jc w:val="right"/>
              <w:rPr>
                <w:color w:val="000000"/>
                <w:sz w:val="20"/>
                <w:szCs w:val="20"/>
              </w:rPr>
            </w:pPr>
            <w:r w:rsidRPr="00746EDE">
              <w:rPr>
                <w:color w:val="000000"/>
                <w:sz w:val="20"/>
                <w:szCs w:val="20"/>
              </w:rPr>
              <w:t>60,96%</w:t>
            </w:r>
          </w:p>
        </w:tc>
        <w:tc>
          <w:tcPr>
            <w:tcW w:w="1796" w:type="dxa"/>
            <w:tcBorders>
              <w:right w:val="single" w:sz="12" w:space="0" w:color="auto"/>
            </w:tcBorders>
            <w:vAlign w:val="center"/>
          </w:tcPr>
          <w:p w:rsidR="004D6FCF" w:rsidRPr="00746EDE" w:rsidRDefault="004D6FCF" w:rsidP="004D6FCF">
            <w:pPr>
              <w:jc w:val="right"/>
              <w:rPr>
                <w:color w:val="000000"/>
                <w:sz w:val="20"/>
                <w:szCs w:val="20"/>
              </w:rPr>
            </w:pPr>
          </w:p>
        </w:tc>
      </w:tr>
      <w:tr w:rsidR="004D6FCF" w:rsidRPr="00746EDE" w:rsidTr="00A94FB7">
        <w:trPr>
          <w:trHeight w:val="311"/>
        </w:trPr>
        <w:tc>
          <w:tcPr>
            <w:tcW w:w="4253" w:type="dxa"/>
            <w:tcBorders>
              <w:left w:val="nil"/>
              <w:bottom w:val="nil"/>
              <w:right w:val="nil"/>
            </w:tcBorders>
            <w:shd w:val="clear" w:color="auto" w:fill="4F81BD"/>
            <w:noWrap/>
            <w:vAlign w:val="center"/>
            <w:hideMark/>
          </w:tcPr>
          <w:p w:rsidR="004D6FCF" w:rsidRPr="00746EDE" w:rsidRDefault="004D6FCF" w:rsidP="004D6FCF">
            <w:pPr>
              <w:rPr>
                <w:b/>
                <w:bCs/>
                <w:color w:val="FFFFFF"/>
                <w:lang w:eastAsia="bg-BG"/>
              </w:rPr>
            </w:pPr>
            <w:r w:rsidRPr="00746EDE">
              <w:rPr>
                <w:b/>
                <w:bCs/>
                <w:color w:val="FFFFFF"/>
                <w:lang w:eastAsia="bg-BG"/>
              </w:rPr>
              <w:t>Foreign market</w:t>
            </w:r>
          </w:p>
        </w:tc>
        <w:tc>
          <w:tcPr>
            <w:tcW w:w="1937" w:type="dxa"/>
            <w:shd w:val="clear" w:color="auto" w:fill="D8D8D8"/>
            <w:vAlign w:val="center"/>
          </w:tcPr>
          <w:p w:rsidR="004D6FCF" w:rsidRPr="00746EDE" w:rsidRDefault="004D6FCF" w:rsidP="004D6FCF">
            <w:pPr>
              <w:jc w:val="right"/>
              <w:rPr>
                <w:color w:val="000000"/>
                <w:sz w:val="20"/>
                <w:szCs w:val="20"/>
              </w:rPr>
            </w:pPr>
            <w:r w:rsidRPr="00746EDE">
              <w:rPr>
                <w:color w:val="000000"/>
                <w:sz w:val="20"/>
                <w:szCs w:val="20"/>
              </w:rPr>
              <w:t>3 043</w:t>
            </w:r>
          </w:p>
        </w:tc>
        <w:tc>
          <w:tcPr>
            <w:tcW w:w="1937" w:type="dxa"/>
            <w:shd w:val="clear" w:color="auto" w:fill="D8D8D8"/>
            <w:vAlign w:val="center"/>
          </w:tcPr>
          <w:p w:rsidR="004D6FCF" w:rsidRPr="00746EDE" w:rsidRDefault="004D6FCF" w:rsidP="004D6FCF">
            <w:pPr>
              <w:jc w:val="right"/>
              <w:rPr>
                <w:color w:val="000000"/>
                <w:sz w:val="20"/>
                <w:szCs w:val="20"/>
              </w:rPr>
            </w:pPr>
            <w:r w:rsidRPr="00746EDE">
              <w:rPr>
                <w:color w:val="000000"/>
                <w:sz w:val="20"/>
                <w:szCs w:val="20"/>
              </w:rPr>
              <w:t>19 349</w:t>
            </w:r>
          </w:p>
        </w:tc>
        <w:tc>
          <w:tcPr>
            <w:tcW w:w="1796" w:type="dxa"/>
            <w:tcBorders>
              <w:right w:val="single" w:sz="12" w:space="0" w:color="auto"/>
            </w:tcBorders>
            <w:shd w:val="clear" w:color="auto" w:fill="D8D8D8"/>
            <w:vAlign w:val="center"/>
          </w:tcPr>
          <w:p w:rsidR="004D6FCF" w:rsidRPr="00746EDE" w:rsidRDefault="004D6FCF" w:rsidP="004D6FCF">
            <w:pPr>
              <w:jc w:val="right"/>
              <w:rPr>
                <w:color w:val="000000"/>
                <w:sz w:val="20"/>
                <w:szCs w:val="20"/>
              </w:rPr>
            </w:pPr>
            <w:r w:rsidRPr="00746EDE">
              <w:rPr>
                <w:color w:val="000000"/>
                <w:sz w:val="20"/>
                <w:szCs w:val="20"/>
              </w:rPr>
              <w:t>535,9%</w:t>
            </w:r>
          </w:p>
        </w:tc>
      </w:tr>
      <w:tr w:rsidR="004D6FCF" w:rsidRPr="00746EDE" w:rsidTr="00A94FB7">
        <w:trPr>
          <w:trHeight w:val="311"/>
        </w:trPr>
        <w:tc>
          <w:tcPr>
            <w:tcW w:w="4253" w:type="dxa"/>
            <w:tcBorders>
              <w:left w:val="nil"/>
              <w:bottom w:val="nil"/>
              <w:right w:val="nil"/>
            </w:tcBorders>
            <w:shd w:val="clear" w:color="auto" w:fill="4F81BD"/>
            <w:noWrap/>
            <w:vAlign w:val="center"/>
            <w:hideMark/>
          </w:tcPr>
          <w:p w:rsidR="004D6FCF" w:rsidRPr="00746EDE" w:rsidRDefault="004D6FCF" w:rsidP="004D6FCF">
            <w:pPr>
              <w:jc w:val="right"/>
              <w:rPr>
                <w:b/>
                <w:bCs/>
                <w:i/>
                <w:color w:val="FFFFFF"/>
                <w:lang w:eastAsia="bg-BG"/>
              </w:rPr>
            </w:pPr>
            <w:r w:rsidRPr="00746EDE">
              <w:rPr>
                <w:b/>
                <w:bCs/>
                <w:i/>
                <w:color w:val="FFFFFF"/>
                <w:lang w:eastAsia="bg-BG"/>
              </w:rPr>
              <w:t>% of the total revenues</w:t>
            </w:r>
          </w:p>
        </w:tc>
        <w:tc>
          <w:tcPr>
            <w:tcW w:w="1937" w:type="dxa"/>
            <w:vAlign w:val="center"/>
          </w:tcPr>
          <w:p w:rsidR="004D6FCF" w:rsidRPr="00746EDE" w:rsidRDefault="004D6FCF" w:rsidP="004D6FCF">
            <w:pPr>
              <w:jc w:val="right"/>
              <w:rPr>
                <w:color w:val="000000"/>
                <w:sz w:val="20"/>
                <w:szCs w:val="20"/>
              </w:rPr>
            </w:pPr>
            <w:r w:rsidRPr="00746EDE">
              <w:rPr>
                <w:color w:val="000000"/>
                <w:sz w:val="20"/>
                <w:szCs w:val="20"/>
              </w:rPr>
              <w:t>8,61%</w:t>
            </w:r>
          </w:p>
        </w:tc>
        <w:tc>
          <w:tcPr>
            <w:tcW w:w="1937" w:type="dxa"/>
            <w:vAlign w:val="center"/>
          </w:tcPr>
          <w:p w:rsidR="004D6FCF" w:rsidRPr="00746EDE" w:rsidRDefault="004D6FCF" w:rsidP="004D6FCF">
            <w:pPr>
              <w:jc w:val="right"/>
              <w:rPr>
                <w:color w:val="000000"/>
                <w:sz w:val="20"/>
                <w:szCs w:val="20"/>
              </w:rPr>
            </w:pPr>
            <w:r w:rsidRPr="00746EDE">
              <w:rPr>
                <w:color w:val="000000"/>
                <w:sz w:val="20"/>
                <w:szCs w:val="20"/>
              </w:rPr>
              <w:t>33,64%</w:t>
            </w:r>
          </w:p>
        </w:tc>
        <w:tc>
          <w:tcPr>
            <w:tcW w:w="1796" w:type="dxa"/>
            <w:tcBorders>
              <w:right w:val="single" w:sz="12" w:space="0" w:color="auto"/>
            </w:tcBorders>
            <w:vAlign w:val="center"/>
          </w:tcPr>
          <w:p w:rsidR="004D6FCF" w:rsidRPr="00746EDE" w:rsidRDefault="004D6FCF" w:rsidP="004D6FCF">
            <w:pPr>
              <w:jc w:val="right"/>
              <w:rPr>
                <w:color w:val="000000"/>
                <w:sz w:val="20"/>
                <w:szCs w:val="20"/>
              </w:rPr>
            </w:pPr>
          </w:p>
        </w:tc>
      </w:tr>
      <w:tr w:rsidR="004D6FCF" w:rsidRPr="00746EDE" w:rsidTr="00A94FB7">
        <w:trPr>
          <w:trHeight w:val="311"/>
        </w:trPr>
        <w:tc>
          <w:tcPr>
            <w:tcW w:w="4253" w:type="dxa"/>
            <w:tcBorders>
              <w:left w:val="nil"/>
              <w:bottom w:val="nil"/>
              <w:right w:val="nil"/>
            </w:tcBorders>
            <w:shd w:val="clear" w:color="auto" w:fill="4F81BD"/>
            <w:noWrap/>
            <w:vAlign w:val="center"/>
            <w:hideMark/>
          </w:tcPr>
          <w:p w:rsidR="004D6FCF" w:rsidRPr="00746EDE" w:rsidRDefault="004D6FCF" w:rsidP="004D6FCF">
            <w:pPr>
              <w:rPr>
                <w:b/>
                <w:bCs/>
                <w:color w:val="FFFFFF"/>
                <w:lang w:eastAsia="bg-BG"/>
              </w:rPr>
            </w:pPr>
            <w:r w:rsidRPr="00746EDE">
              <w:rPr>
                <w:b/>
                <w:bCs/>
                <w:color w:val="FFFFFF"/>
                <w:lang w:eastAsia="bg-BG"/>
              </w:rPr>
              <w:t>Others</w:t>
            </w:r>
          </w:p>
        </w:tc>
        <w:tc>
          <w:tcPr>
            <w:tcW w:w="1937" w:type="dxa"/>
            <w:shd w:val="clear" w:color="auto" w:fill="D8D8D8"/>
            <w:vAlign w:val="center"/>
          </w:tcPr>
          <w:p w:rsidR="004D6FCF" w:rsidRPr="00746EDE" w:rsidRDefault="004D6FCF" w:rsidP="004D6FCF">
            <w:pPr>
              <w:jc w:val="right"/>
              <w:rPr>
                <w:color w:val="000000"/>
                <w:sz w:val="20"/>
                <w:szCs w:val="20"/>
              </w:rPr>
            </w:pPr>
            <w:r w:rsidRPr="00746EDE">
              <w:rPr>
                <w:color w:val="000000"/>
                <w:sz w:val="20"/>
                <w:szCs w:val="20"/>
              </w:rPr>
              <w:t>1 825</w:t>
            </w:r>
          </w:p>
        </w:tc>
        <w:tc>
          <w:tcPr>
            <w:tcW w:w="1937" w:type="dxa"/>
            <w:shd w:val="clear" w:color="auto" w:fill="D8D8D8"/>
            <w:vAlign w:val="center"/>
          </w:tcPr>
          <w:p w:rsidR="004D6FCF" w:rsidRPr="00746EDE" w:rsidRDefault="004D6FCF" w:rsidP="004D6FCF">
            <w:pPr>
              <w:jc w:val="right"/>
              <w:rPr>
                <w:color w:val="000000"/>
                <w:sz w:val="20"/>
                <w:szCs w:val="20"/>
              </w:rPr>
            </w:pPr>
            <w:r w:rsidRPr="00746EDE">
              <w:rPr>
                <w:color w:val="000000"/>
                <w:sz w:val="20"/>
                <w:szCs w:val="20"/>
              </w:rPr>
              <w:t>3 108</w:t>
            </w:r>
          </w:p>
        </w:tc>
        <w:tc>
          <w:tcPr>
            <w:tcW w:w="1796" w:type="dxa"/>
            <w:tcBorders>
              <w:right w:val="single" w:sz="12" w:space="0" w:color="auto"/>
            </w:tcBorders>
            <w:shd w:val="clear" w:color="auto" w:fill="D8D8D8"/>
            <w:vAlign w:val="center"/>
          </w:tcPr>
          <w:p w:rsidR="004D6FCF" w:rsidRPr="00746EDE" w:rsidRDefault="004D6FCF" w:rsidP="004D6FCF">
            <w:pPr>
              <w:jc w:val="right"/>
              <w:rPr>
                <w:color w:val="000000"/>
                <w:sz w:val="20"/>
                <w:szCs w:val="20"/>
              </w:rPr>
            </w:pPr>
            <w:r w:rsidRPr="00746EDE">
              <w:rPr>
                <w:color w:val="000000"/>
                <w:sz w:val="20"/>
                <w:szCs w:val="20"/>
              </w:rPr>
              <w:t>70,3%</w:t>
            </w:r>
          </w:p>
        </w:tc>
      </w:tr>
      <w:tr w:rsidR="004D6FCF" w:rsidRPr="00746EDE" w:rsidTr="00A94FB7">
        <w:trPr>
          <w:trHeight w:val="311"/>
        </w:trPr>
        <w:tc>
          <w:tcPr>
            <w:tcW w:w="4253" w:type="dxa"/>
            <w:tcBorders>
              <w:left w:val="nil"/>
              <w:bottom w:val="nil"/>
              <w:right w:val="nil"/>
            </w:tcBorders>
            <w:shd w:val="clear" w:color="auto" w:fill="4F81BD"/>
            <w:noWrap/>
            <w:vAlign w:val="center"/>
            <w:hideMark/>
          </w:tcPr>
          <w:p w:rsidR="004D6FCF" w:rsidRPr="00746EDE" w:rsidRDefault="004D6FCF" w:rsidP="004D6FCF">
            <w:pPr>
              <w:jc w:val="right"/>
              <w:rPr>
                <w:b/>
                <w:bCs/>
                <w:i/>
                <w:color w:val="FFFFFF"/>
                <w:lang w:eastAsia="bg-BG"/>
              </w:rPr>
            </w:pPr>
            <w:r w:rsidRPr="00746EDE">
              <w:rPr>
                <w:b/>
                <w:bCs/>
                <w:i/>
                <w:color w:val="FFFFFF"/>
                <w:lang w:eastAsia="bg-BG"/>
              </w:rPr>
              <w:t>% of the total revenues</w:t>
            </w:r>
          </w:p>
        </w:tc>
        <w:tc>
          <w:tcPr>
            <w:tcW w:w="1937" w:type="dxa"/>
            <w:vAlign w:val="center"/>
          </w:tcPr>
          <w:p w:rsidR="004D6FCF" w:rsidRPr="00746EDE" w:rsidRDefault="004D6FCF" w:rsidP="004D6FCF">
            <w:pPr>
              <w:jc w:val="right"/>
              <w:rPr>
                <w:color w:val="000000"/>
                <w:sz w:val="20"/>
                <w:szCs w:val="20"/>
              </w:rPr>
            </w:pPr>
            <w:r w:rsidRPr="00746EDE">
              <w:rPr>
                <w:color w:val="000000"/>
                <w:sz w:val="20"/>
                <w:szCs w:val="20"/>
              </w:rPr>
              <w:t>5,16%</w:t>
            </w:r>
          </w:p>
        </w:tc>
        <w:tc>
          <w:tcPr>
            <w:tcW w:w="1937" w:type="dxa"/>
            <w:vAlign w:val="center"/>
          </w:tcPr>
          <w:p w:rsidR="004D6FCF" w:rsidRPr="00746EDE" w:rsidRDefault="004D6FCF" w:rsidP="004D6FCF">
            <w:pPr>
              <w:jc w:val="right"/>
              <w:rPr>
                <w:color w:val="000000"/>
                <w:sz w:val="20"/>
                <w:szCs w:val="20"/>
              </w:rPr>
            </w:pPr>
            <w:r w:rsidRPr="00746EDE">
              <w:rPr>
                <w:color w:val="000000"/>
                <w:sz w:val="20"/>
                <w:szCs w:val="20"/>
              </w:rPr>
              <w:t>5,40%</w:t>
            </w:r>
          </w:p>
        </w:tc>
        <w:tc>
          <w:tcPr>
            <w:tcW w:w="1796" w:type="dxa"/>
            <w:tcBorders>
              <w:right w:val="single" w:sz="12" w:space="0" w:color="auto"/>
            </w:tcBorders>
            <w:vAlign w:val="center"/>
          </w:tcPr>
          <w:p w:rsidR="004D6FCF" w:rsidRPr="00746EDE" w:rsidRDefault="004D6FCF" w:rsidP="004D6FCF">
            <w:pPr>
              <w:jc w:val="right"/>
              <w:rPr>
                <w:color w:val="000000"/>
                <w:sz w:val="20"/>
                <w:szCs w:val="20"/>
              </w:rPr>
            </w:pPr>
          </w:p>
        </w:tc>
      </w:tr>
      <w:tr w:rsidR="004D6FCF" w:rsidRPr="00746EDE" w:rsidTr="00A94FB7">
        <w:trPr>
          <w:trHeight w:val="311"/>
        </w:trPr>
        <w:tc>
          <w:tcPr>
            <w:tcW w:w="4253" w:type="dxa"/>
            <w:tcBorders>
              <w:left w:val="nil"/>
              <w:bottom w:val="nil"/>
              <w:right w:val="nil"/>
            </w:tcBorders>
            <w:shd w:val="clear" w:color="auto" w:fill="4F81BD"/>
            <w:noWrap/>
            <w:vAlign w:val="center"/>
            <w:hideMark/>
          </w:tcPr>
          <w:p w:rsidR="004D6FCF" w:rsidRPr="00746EDE" w:rsidRDefault="004D6FCF" w:rsidP="004D6FCF">
            <w:pPr>
              <w:rPr>
                <w:b/>
                <w:bCs/>
                <w:color w:val="FFFFFF"/>
                <w:lang w:eastAsia="bg-BG"/>
              </w:rPr>
            </w:pPr>
            <w:r w:rsidRPr="00746EDE">
              <w:rPr>
                <w:b/>
                <w:bCs/>
                <w:color w:val="FFFFFF"/>
                <w:lang w:eastAsia="bg-BG"/>
              </w:rPr>
              <w:t>Number of parcels carried</w:t>
            </w:r>
          </w:p>
        </w:tc>
        <w:tc>
          <w:tcPr>
            <w:tcW w:w="1937" w:type="dxa"/>
            <w:shd w:val="clear" w:color="auto" w:fill="D8D8D8"/>
            <w:vAlign w:val="center"/>
          </w:tcPr>
          <w:p w:rsidR="004D6FCF" w:rsidRPr="00746EDE" w:rsidRDefault="004D6FCF" w:rsidP="004D6FCF">
            <w:pPr>
              <w:jc w:val="right"/>
              <w:rPr>
                <w:color w:val="000000"/>
                <w:sz w:val="20"/>
                <w:szCs w:val="20"/>
              </w:rPr>
            </w:pPr>
            <w:r w:rsidRPr="00746EDE">
              <w:rPr>
                <w:color w:val="000000"/>
                <w:sz w:val="20"/>
                <w:szCs w:val="20"/>
              </w:rPr>
              <w:t>5 592</w:t>
            </w:r>
          </w:p>
        </w:tc>
        <w:tc>
          <w:tcPr>
            <w:tcW w:w="1937" w:type="dxa"/>
            <w:shd w:val="clear" w:color="auto" w:fill="D8D8D8"/>
            <w:vAlign w:val="center"/>
          </w:tcPr>
          <w:p w:rsidR="004D6FCF" w:rsidRPr="00746EDE" w:rsidRDefault="004D6FCF" w:rsidP="004D6FCF">
            <w:pPr>
              <w:jc w:val="right"/>
              <w:rPr>
                <w:color w:val="000000"/>
                <w:sz w:val="20"/>
                <w:szCs w:val="20"/>
              </w:rPr>
            </w:pPr>
            <w:r w:rsidRPr="00746EDE">
              <w:rPr>
                <w:color w:val="000000"/>
                <w:sz w:val="20"/>
                <w:szCs w:val="20"/>
              </w:rPr>
              <w:t>9 347</w:t>
            </w:r>
          </w:p>
        </w:tc>
        <w:tc>
          <w:tcPr>
            <w:tcW w:w="1796" w:type="dxa"/>
            <w:tcBorders>
              <w:right w:val="single" w:sz="12" w:space="0" w:color="auto"/>
            </w:tcBorders>
            <w:shd w:val="clear" w:color="auto" w:fill="D8D8D8"/>
            <w:vAlign w:val="center"/>
          </w:tcPr>
          <w:p w:rsidR="004D6FCF" w:rsidRPr="00746EDE" w:rsidRDefault="004D6FCF" w:rsidP="004D6FCF">
            <w:pPr>
              <w:jc w:val="right"/>
              <w:rPr>
                <w:color w:val="000000"/>
                <w:sz w:val="20"/>
                <w:szCs w:val="20"/>
              </w:rPr>
            </w:pPr>
            <w:r w:rsidRPr="00746EDE">
              <w:rPr>
                <w:color w:val="000000"/>
                <w:sz w:val="20"/>
                <w:szCs w:val="20"/>
              </w:rPr>
              <w:t>67,1%</w:t>
            </w:r>
          </w:p>
        </w:tc>
      </w:tr>
      <w:tr w:rsidR="004D6FCF" w:rsidRPr="00746EDE" w:rsidTr="00A94FB7">
        <w:trPr>
          <w:trHeight w:val="311"/>
        </w:trPr>
        <w:tc>
          <w:tcPr>
            <w:tcW w:w="4253" w:type="dxa"/>
            <w:tcBorders>
              <w:top w:val="double" w:sz="6" w:space="0" w:color="auto"/>
              <w:left w:val="nil"/>
              <w:bottom w:val="single" w:sz="18" w:space="0" w:color="auto"/>
              <w:right w:val="nil"/>
            </w:tcBorders>
            <w:shd w:val="clear" w:color="auto" w:fill="FFFFFF"/>
            <w:noWrap/>
            <w:vAlign w:val="center"/>
            <w:hideMark/>
          </w:tcPr>
          <w:p w:rsidR="004D6FCF" w:rsidRPr="00746EDE" w:rsidRDefault="004D6FCF" w:rsidP="004D6FCF">
            <w:pPr>
              <w:rPr>
                <w:b/>
                <w:bCs/>
                <w:color w:val="000000"/>
                <w:lang w:eastAsia="bg-BG"/>
              </w:rPr>
            </w:pPr>
            <w:r w:rsidRPr="00746EDE">
              <w:rPr>
                <w:b/>
                <w:bCs/>
                <w:color w:val="000000"/>
                <w:lang w:eastAsia="bg-BG"/>
              </w:rPr>
              <w:t>Total revenues</w:t>
            </w:r>
          </w:p>
        </w:tc>
        <w:tc>
          <w:tcPr>
            <w:tcW w:w="1937" w:type="dxa"/>
            <w:tcBorders>
              <w:top w:val="double" w:sz="6" w:space="0" w:color="auto"/>
              <w:left w:val="nil"/>
              <w:bottom w:val="single" w:sz="18" w:space="0" w:color="auto"/>
              <w:right w:val="nil"/>
            </w:tcBorders>
            <w:shd w:val="clear" w:color="auto" w:fill="FFFFFF"/>
            <w:vAlign w:val="center"/>
          </w:tcPr>
          <w:p w:rsidR="004D6FCF" w:rsidRPr="00746EDE" w:rsidRDefault="004D6FCF" w:rsidP="004D6FCF">
            <w:pPr>
              <w:jc w:val="right"/>
              <w:rPr>
                <w:b/>
                <w:color w:val="000000"/>
                <w:sz w:val="20"/>
                <w:szCs w:val="20"/>
              </w:rPr>
            </w:pPr>
            <w:r w:rsidRPr="00746EDE">
              <w:rPr>
                <w:b/>
                <w:color w:val="000000"/>
                <w:sz w:val="20"/>
                <w:szCs w:val="20"/>
              </w:rPr>
              <w:t>35 354</w:t>
            </w:r>
          </w:p>
        </w:tc>
        <w:tc>
          <w:tcPr>
            <w:tcW w:w="1937" w:type="dxa"/>
            <w:tcBorders>
              <w:top w:val="double" w:sz="6" w:space="0" w:color="auto"/>
              <w:left w:val="nil"/>
              <w:bottom w:val="single" w:sz="18" w:space="0" w:color="auto"/>
              <w:right w:val="nil"/>
            </w:tcBorders>
            <w:shd w:val="clear" w:color="auto" w:fill="FFFFFF"/>
            <w:vAlign w:val="center"/>
          </w:tcPr>
          <w:p w:rsidR="004D6FCF" w:rsidRPr="00746EDE" w:rsidRDefault="004D6FCF" w:rsidP="004D6FCF">
            <w:pPr>
              <w:jc w:val="right"/>
              <w:rPr>
                <w:b/>
                <w:color w:val="000000"/>
                <w:sz w:val="20"/>
                <w:szCs w:val="20"/>
              </w:rPr>
            </w:pPr>
            <w:r w:rsidRPr="00746EDE">
              <w:rPr>
                <w:b/>
                <w:color w:val="000000"/>
                <w:sz w:val="20"/>
                <w:szCs w:val="20"/>
              </w:rPr>
              <w:t>57 518</w:t>
            </w:r>
          </w:p>
        </w:tc>
        <w:tc>
          <w:tcPr>
            <w:tcW w:w="1796" w:type="dxa"/>
            <w:tcBorders>
              <w:top w:val="double" w:sz="6" w:space="0" w:color="auto"/>
              <w:left w:val="nil"/>
              <w:bottom w:val="single" w:sz="18" w:space="0" w:color="auto"/>
              <w:right w:val="single" w:sz="12" w:space="0" w:color="auto"/>
            </w:tcBorders>
            <w:shd w:val="clear" w:color="auto" w:fill="FFFFFF"/>
            <w:vAlign w:val="center"/>
          </w:tcPr>
          <w:p w:rsidR="004D6FCF" w:rsidRPr="00746EDE" w:rsidRDefault="004D6FCF" w:rsidP="004D6FCF">
            <w:pPr>
              <w:jc w:val="right"/>
              <w:rPr>
                <w:b/>
                <w:color w:val="000000"/>
                <w:sz w:val="20"/>
                <w:szCs w:val="20"/>
              </w:rPr>
            </w:pPr>
            <w:r w:rsidRPr="00746EDE">
              <w:rPr>
                <w:b/>
                <w:color w:val="000000"/>
                <w:sz w:val="20"/>
                <w:szCs w:val="20"/>
              </w:rPr>
              <w:t>62,7%</w:t>
            </w:r>
          </w:p>
        </w:tc>
      </w:tr>
    </w:tbl>
    <w:p w:rsidR="00EE0489" w:rsidRPr="00746EDE" w:rsidRDefault="00EE0489" w:rsidP="0012425E">
      <w:pPr>
        <w:pStyle w:val="BodyText"/>
        <w:spacing w:after="120"/>
        <w:ind w:right="-180"/>
        <w:rPr>
          <w:lang w:val="en-GB"/>
        </w:rPr>
      </w:pPr>
    </w:p>
    <w:p w:rsidR="004D6FCF" w:rsidRPr="00746EDE" w:rsidRDefault="004D6FCF" w:rsidP="0012425E">
      <w:pPr>
        <w:pStyle w:val="BodyText"/>
        <w:spacing w:after="120"/>
        <w:ind w:right="-180"/>
        <w:rPr>
          <w:lang w:val="en-GB"/>
        </w:rPr>
      </w:pPr>
      <w:r w:rsidRPr="00746EDE">
        <w:rPr>
          <w:lang w:val="en-GB"/>
        </w:rPr>
        <w:t xml:space="preserve">On consolidated basis especially strong is the growth in international market where the revenue increased by 536% compared to half-year in 2014, following the consolidation of DPD Romania. The subsidiary in Romania has a different </w:t>
      </w:r>
      <w:r w:rsidR="00FD2347" w:rsidRPr="00746EDE">
        <w:rPr>
          <w:lang w:val="en-GB"/>
        </w:rPr>
        <w:t>profile. The focus is on B2C services and international deliveries. After acquisition, Speedy, Jsc actively developed its presence on Romanian market by widening the range of services offered and expanding its logistic network. Due to planned investments and much higher dynamic of Romanian ma</w:t>
      </w:r>
      <w:r w:rsidR="000D759B" w:rsidRPr="00746EDE">
        <w:rPr>
          <w:lang w:val="en-GB"/>
        </w:rPr>
        <w:t>rket, we expect the realized growth to outpace the one in Bulgarian market.</w:t>
      </w:r>
    </w:p>
    <w:p w:rsidR="000D759B" w:rsidRPr="00746EDE" w:rsidRDefault="000D759B" w:rsidP="0012425E">
      <w:pPr>
        <w:pStyle w:val="BodyText"/>
        <w:spacing w:after="120"/>
        <w:ind w:right="-180"/>
        <w:rPr>
          <w:lang w:val="en-GB"/>
        </w:rPr>
      </w:pPr>
      <w:r w:rsidRPr="00746EDE">
        <w:rPr>
          <w:lang w:val="en-GB"/>
        </w:rPr>
        <w:t>Besides development of its network and services, the company constantly work on improving its competitiveness, which allow us to defend and expand out leading position on courier market. It allowed in H1 2015 Speedy, Jsc to grow above market as a whole, adding 15</w:t>
      </w:r>
      <w:proofErr w:type="gramStart"/>
      <w:r w:rsidRPr="00746EDE">
        <w:rPr>
          <w:lang w:val="en-GB"/>
        </w:rPr>
        <w:t>,3</w:t>
      </w:r>
      <w:proofErr w:type="gramEnd"/>
      <w:r w:rsidRPr="00746EDE">
        <w:rPr>
          <w:lang w:val="en-GB"/>
        </w:rPr>
        <w:t>% to its sales on non-consolidated basis and 62,7% on consolidated basis. Successful introduction of new products in the last years – international deliveries, pallets services and network for servicing online trade – are important contributor to the overall growth and currently comprise significant part of total revenue.</w:t>
      </w:r>
    </w:p>
    <w:p w:rsidR="000D759B" w:rsidRPr="00746EDE" w:rsidRDefault="000D759B" w:rsidP="0012425E">
      <w:pPr>
        <w:pStyle w:val="BodyText"/>
        <w:spacing w:after="120"/>
        <w:ind w:right="-180"/>
        <w:rPr>
          <w:lang w:val="en-GB"/>
        </w:rPr>
      </w:pPr>
      <w:r w:rsidRPr="00746EDE">
        <w:rPr>
          <w:lang w:val="en-GB"/>
        </w:rPr>
        <w:t xml:space="preserve">The expansion of office network has added a new segment – the individual </w:t>
      </w:r>
      <w:r w:rsidR="00AA0007" w:rsidRPr="00746EDE">
        <w:rPr>
          <w:lang w:val="en-GB"/>
        </w:rPr>
        <w:t>clients and e-commerce. The smaller size of the parcels, common for the individual customers, results in lower average revenue per parcel, which explains the outpacing growth of number of parcel compared to sales growth. Larger office network has a positive effect on cost of delivery and is more convenient for individual clients.</w:t>
      </w:r>
      <w:r w:rsidR="00B45F80" w:rsidRPr="00746EDE">
        <w:rPr>
          <w:lang w:val="en-GB"/>
        </w:rPr>
        <w:t xml:space="preserve"> Along with that, SPS program is an additional marketing channel in the regions where the offices operate as long as local partners are motivated to promote company services.</w:t>
      </w:r>
    </w:p>
    <w:p w:rsidR="00B45F80" w:rsidRPr="00746EDE" w:rsidRDefault="00B45F80" w:rsidP="0012425E">
      <w:pPr>
        <w:pStyle w:val="BodyText"/>
        <w:spacing w:after="120"/>
        <w:ind w:right="-180"/>
        <w:rPr>
          <w:lang w:val="en-GB"/>
        </w:rPr>
      </w:pPr>
      <w:r w:rsidRPr="00746EDE">
        <w:rPr>
          <w:lang w:val="en-GB"/>
        </w:rPr>
        <w:t xml:space="preserve">The proceeds from rents and sale of amortized </w:t>
      </w:r>
      <w:r w:rsidR="006A77EA" w:rsidRPr="00746EDE">
        <w:rPr>
          <w:lang w:val="en-GB"/>
        </w:rPr>
        <w:t>vehicles</w:t>
      </w:r>
      <w:r w:rsidR="004A5AD1" w:rsidRPr="00746EDE">
        <w:rPr>
          <w:lang w:val="en-GB"/>
        </w:rPr>
        <w:t xml:space="preserve"> are the main contributor for increase in “Other revenue” as well as the better collection of receivables that </w:t>
      </w:r>
      <w:proofErr w:type="gramStart"/>
      <w:r w:rsidR="004A5AD1" w:rsidRPr="00746EDE">
        <w:rPr>
          <w:lang w:val="en-GB"/>
        </w:rPr>
        <w:t>had been provisioned</w:t>
      </w:r>
      <w:proofErr w:type="gramEnd"/>
      <w:r w:rsidR="004A5AD1" w:rsidRPr="00746EDE">
        <w:rPr>
          <w:lang w:val="en-GB"/>
        </w:rPr>
        <w:t xml:space="preserve">. On consolidated </w:t>
      </w:r>
      <w:proofErr w:type="gramStart"/>
      <w:r w:rsidR="004A5AD1" w:rsidRPr="00746EDE">
        <w:rPr>
          <w:lang w:val="en-GB"/>
        </w:rPr>
        <w:t>basis</w:t>
      </w:r>
      <w:proofErr w:type="gramEnd"/>
      <w:r w:rsidR="004A5AD1" w:rsidRPr="00746EDE">
        <w:rPr>
          <w:lang w:val="en-GB"/>
        </w:rPr>
        <w:t xml:space="preserve"> the increase is 67% because of additional revenue from DPD Romania.</w:t>
      </w:r>
    </w:p>
    <w:p w:rsidR="004A5AD1" w:rsidRPr="00746EDE" w:rsidRDefault="004A5AD1" w:rsidP="0012425E">
      <w:pPr>
        <w:pStyle w:val="BodyText"/>
        <w:spacing w:after="120"/>
        <w:ind w:right="-180"/>
        <w:rPr>
          <w:lang w:val="en-GB"/>
        </w:rPr>
      </w:pPr>
      <w:r w:rsidRPr="00746EDE">
        <w:rPr>
          <w:lang w:val="en-GB"/>
        </w:rPr>
        <w:t xml:space="preserve">Besides the new services, Speedy Jsc </w:t>
      </w:r>
      <w:r w:rsidR="00082F87" w:rsidRPr="00746EDE">
        <w:rPr>
          <w:lang w:val="en-GB"/>
        </w:rPr>
        <w:t>realize healthy growth in its core segment due to its strong competitive position in large parcels and corporate clients.</w:t>
      </w:r>
    </w:p>
    <w:p w:rsidR="00AB6697" w:rsidRPr="00746EDE" w:rsidRDefault="00AB6697" w:rsidP="00E455FD">
      <w:pPr>
        <w:pStyle w:val="BodyText"/>
        <w:spacing w:after="120"/>
        <w:ind w:right="-180"/>
        <w:rPr>
          <w:i/>
          <w:u w:val="single"/>
          <w:lang w:val="en-GB"/>
        </w:rPr>
      </w:pPr>
    </w:p>
    <w:p w:rsidR="00594CAA" w:rsidRPr="00746EDE" w:rsidRDefault="0073171E" w:rsidP="00E455FD">
      <w:pPr>
        <w:pStyle w:val="BodyText"/>
        <w:spacing w:after="120"/>
        <w:ind w:right="-180"/>
        <w:rPr>
          <w:i/>
          <w:u w:val="single"/>
          <w:lang w:val="en-GB"/>
        </w:rPr>
      </w:pPr>
      <w:r w:rsidRPr="00746EDE">
        <w:rPr>
          <w:i/>
          <w:u w:val="single"/>
          <w:lang w:val="en-GB"/>
        </w:rPr>
        <w:t xml:space="preserve">1.2 </w:t>
      </w:r>
      <w:r w:rsidR="00082F87" w:rsidRPr="00746EDE">
        <w:rPr>
          <w:i/>
          <w:u w:val="single"/>
          <w:lang w:val="en-GB"/>
        </w:rPr>
        <w:t>Expenses</w:t>
      </w:r>
    </w:p>
    <w:p w:rsidR="00082F87" w:rsidRPr="00746EDE" w:rsidRDefault="00082F87" w:rsidP="00927A5B">
      <w:pPr>
        <w:pStyle w:val="BodyText"/>
        <w:spacing w:after="120"/>
        <w:ind w:right="-180"/>
        <w:rPr>
          <w:lang w:val="en-GB"/>
        </w:rPr>
      </w:pPr>
      <w:r w:rsidRPr="00746EDE">
        <w:rPr>
          <w:lang w:val="en-GB"/>
        </w:rPr>
        <w:t xml:space="preserve">In 2014 significant restructuring </w:t>
      </w:r>
      <w:proofErr w:type="gramStart"/>
      <w:r w:rsidRPr="00746EDE">
        <w:rPr>
          <w:lang w:val="en-GB"/>
        </w:rPr>
        <w:t>were made</w:t>
      </w:r>
      <w:proofErr w:type="gramEnd"/>
      <w:r w:rsidRPr="00746EDE">
        <w:rPr>
          <w:lang w:val="en-GB"/>
        </w:rPr>
        <w:t xml:space="preserve"> in the company operations that changed significantly the cost structure. On one side, the Speedy’s Ltd employees </w:t>
      </w:r>
      <w:proofErr w:type="gramStart"/>
      <w:r w:rsidRPr="00746EDE">
        <w:rPr>
          <w:lang w:val="en-GB"/>
        </w:rPr>
        <w:t>were appointed</w:t>
      </w:r>
      <w:proofErr w:type="gramEnd"/>
      <w:r w:rsidRPr="00746EDE">
        <w:rPr>
          <w:lang w:val="en-GB"/>
        </w:rPr>
        <w:t xml:space="preserve"> directly in Speedy Jsc. As a </w:t>
      </w:r>
      <w:r w:rsidR="005C1896" w:rsidRPr="00746EDE">
        <w:rPr>
          <w:lang w:val="en-GB"/>
        </w:rPr>
        <w:t>result,</w:t>
      </w:r>
      <w:r w:rsidRPr="00746EDE">
        <w:rPr>
          <w:lang w:val="en-GB"/>
        </w:rPr>
        <w:t xml:space="preserve"> on non-consolidated basis the cost of hired services from Speedy Ltd shrunk from BGN 5,6m to BGN 50k, </w:t>
      </w:r>
      <w:proofErr w:type="gramStart"/>
      <w:r w:rsidRPr="00746EDE">
        <w:rPr>
          <w:lang w:val="en-GB"/>
        </w:rPr>
        <w:t>Respectively</w:t>
      </w:r>
      <w:proofErr w:type="gramEnd"/>
      <w:r w:rsidRPr="00746EDE">
        <w:rPr>
          <w:lang w:val="en-GB"/>
        </w:rPr>
        <w:t xml:space="preserve">, </w:t>
      </w:r>
      <w:r w:rsidR="005C1896" w:rsidRPr="00746EDE">
        <w:rPr>
          <w:lang w:val="en-GB"/>
        </w:rPr>
        <w:t>total cost of hired services decreased by 13% at the expense of higher remuneration payments, following the higher payroll and 5% average increase of wages and salaries as of 01.07.2014.</w:t>
      </w:r>
    </w:p>
    <w:p w:rsidR="005C1896" w:rsidRPr="00746EDE" w:rsidRDefault="005C1896" w:rsidP="00927A5B">
      <w:pPr>
        <w:pStyle w:val="BodyText"/>
        <w:spacing w:after="120"/>
        <w:ind w:right="-180"/>
        <w:rPr>
          <w:lang w:val="en-GB"/>
        </w:rPr>
      </w:pPr>
      <w:r w:rsidRPr="00746EDE">
        <w:rPr>
          <w:lang w:val="en-GB"/>
        </w:rPr>
        <w:t>On the other side, the programs “Loyalty” and “Couriers - subcontractors” advanced. These pr</w:t>
      </w:r>
      <w:r w:rsidR="00FA74D4" w:rsidRPr="00746EDE">
        <w:rPr>
          <w:lang w:val="en-GB"/>
        </w:rPr>
        <w:t>ograms allow couriers to purchase the vehicles that they work with or to rent one from Sp</w:t>
      </w:r>
      <w:bookmarkStart w:id="0" w:name="_GoBack"/>
      <w:bookmarkEnd w:id="0"/>
      <w:r w:rsidR="00FA74D4" w:rsidRPr="00746EDE">
        <w:rPr>
          <w:lang w:val="en-GB"/>
        </w:rPr>
        <w:t xml:space="preserve">eedy Jsc and to continue its operation as a separate business unit. Currently, 80% of couriers operate as subcontractors. Thus, on </w:t>
      </w:r>
      <w:r w:rsidR="00FA74D4" w:rsidRPr="00746EDE">
        <w:rPr>
          <w:lang w:val="en-GB"/>
        </w:rPr>
        <w:lastRenderedPageBreak/>
        <w:t>non-consolidated basis all other this equal (</w:t>
      </w:r>
      <w:r w:rsidR="004217C9" w:rsidRPr="00746EDE">
        <w:rPr>
          <w:lang w:val="en-GB"/>
        </w:rPr>
        <w:t>eliminating the effect of re-appointment of personnel from Speedy Ltd to Speedy Jsc), results in 20</w:t>
      </w:r>
      <w:proofErr w:type="gramStart"/>
      <w:r w:rsidR="004217C9" w:rsidRPr="00746EDE">
        <w:rPr>
          <w:lang w:val="en-GB"/>
        </w:rPr>
        <w:t>,8</w:t>
      </w:r>
      <w:proofErr w:type="gramEnd"/>
      <w:r w:rsidR="004217C9" w:rsidRPr="00746EDE">
        <w:rPr>
          <w:lang w:val="en-GB"/>
        </w:rPr>
        <w:t>% higher cost of hired services</w:t>
      </w:r>
      <w:r w:rsidR="00472290" w:rsidRPr="00746EDE">
        <w:rPr>
          <w:lang w:val="en-GB"/>
        </w:rPr>
        <w:t xml:space="preserve"> but cut of other expenses, mainly remuneration, fuel, material and vehicle maintenance. On consolidated basis, the migration to subcontractors also explains almost double increase of cost of higher services, together with consolidation of DPD Romania. The latter also implemented the common practice in the business to outsource the large portion of logistic activities.</w:t>
      </w:r>
    </w:p>
    <w:p w:rsidR="005B6047" w:rsidRPr="00746EDE" w:rsidRDefault="005B6047" w:rsidP="005B6047">
      <w:pPr>
        <w:pStyle w:val="BodyText"/>
        <w:spacing w:after="120"/>
        <w:ind w:right="-180"/>
        <w:jc w:val="center"/>
        <w:rPr>
          <w:i/>
          <w:u w:val="single"/>
          <w:lang w:val="en-GB"/>
        </w:rPr>
      </w:pPr>
      <w:r w:rsidRPr="00746EDE">
        <w:rPr>
          <w:i/>
          <w:u w:val="single"/>
          <w:lang w:val="en-GB"/>
        </w:rPr>
        <w:t>Cost Structure, non-consolidated</w:t>
      </w:r>
    </w:p>
    <w:tbl>
      <w:tblPr>
        <w:tblW w:w="9924" w:type="dxa"/>
        <w:tblBorders>
          <w:top w:val="single" w:sz="18" w:space="0" w:color="auto"/>
          <w:bottom w:val="single" w:sz="18" w:space="0" w:color="auto"/>
        </w:tblBorders>
        <w:tblLayout w:type="fixed"/>
        <w:tblLook w:val="04E0" w:firstRow="1" w:lastRow="1" w:firstColumn="1" w:lastColumn="0" w:noHBand="0" w:noVBand="1"/>
      </w:tblPr>
      <w:tblGrid>
        <w:gridCol w:w="5103"/>
        <w:gridCol w:w="1607"/>
        <w:gridCol w:w="1607"/>
        <w:gridCol w:w="1607"/>
      </w:tblGrid>
      <w:tr w:rsidR="005F63E0" w:rsidRPr="00746EDE" w:rsidTr="001E6B33">
        <w:trPr>
          <w:trHeight w:val="330"/>
        </w:trPr>
        <w:tc>
          <w:tcPr>
            <w:tcW w:w="5103" w:type="dxa"/>
            <w:tcBorders>
              <w:left w:val="nil"/>
              <w:bottom w:val="single" w:sz="18" w:space="0" w:color="auto"/>
              <w:right w:val="nil"/>
            </w:tcBorders>
            <w:shd w:val="clear" w:color="auto" w:fill="4F81BD"/>
            <w:noWrap/>
            <w:vAlign w:val="center"/>
            <w:hideMark/>
          </w:tcPr>
          <w:p w:rsidR="005F63E0" w:rsidRPr="00746EDE" w:rsidRDefault="005B6047" w:rsidP="005B6047">
            <w:pPr>
              <w:jc w:val="center"/>
              <w:rPr>
                <w:b/>
                <w:bCs/>
                <w:color w:val="FFFFFF"/>
                <w:lang w:eastAsia="bg-BG"/>
              </w:rPr>
            </w:pPr>
            <w:r w:rsidRPr="00746EDE">
              <w:rPr>
                <w:b/>
                <w:bCs/>
                <w:color w:val="FFFFFF"/>
                <w:lang w:eastAsia="bg-BG"/>
              </w:rPr>
              <w:t>In BGN ‘000</w:t>
            </w:r>
          </w:p>
        </w:tc>
        <w:tc>
          <w:tcPr>
            <w:tcW w:w="1607" w:type="dxa"/>
            <w:tcBorders>
              <w:top w:val="single" w:sz="18" w:space="0" w:color="auto"/>
              <w:left w:val="nil"/>
              <w:bottom w:val="single" w:sz="18" w:space="0" w:color="auto"/>
              <w:right w:val="nil"/>
            </w:tcBorders>
            <w:shd w:val="clear" w:color="auto" w:fill="4F81BD"/>
            <w:noWrap/>
          </w:tcPr>
          <w:p w:rsidR="005F63E0" w:rsidRPr="00746EDE" w:rsidRDefault="005F63E0" w:rsidP="005F63E0">
            <w:pPr>
              <w:jc w:val="center"/>
              <w:rPr>
                <w:b/>
                <w:bCs/>
                <w:color w:val="FFFFFF"/>
              </w:rPr>
            </w:pPr>
            <w:r w:rsidRPr="00746EDE">
              <w:rPr>
                <w:b/>
                <w:bCs/>
                <w:color w:val="FFFFFF"/>
              </w:rPr>
              <w:t>Н1 14</w:t>
            </w:r>
          </w:p>
        </w:tc>
        <w:tc>
          <w:tcPr>
            <w:tcW w:w="1607" w:type="dxa"/>
            <w:tcBorders>
              <w:top w:val="single" w:sz="18" w:space="0" w:color="auto"/>
              <w:left w:val="nil"/>
              <w:bottom w:val="single" w:sz="18" w:space="0" w:color="auto"/>
              <w:right w:val="nil"/>
            </w:tcBorders>
            <w:shd w:val="clear" w:color="auto" w:fill="4F81BD"/>
          </w:tcPr>
          <w:p w:rsidR="005F63E0" w:rsidRPr="00746EDE" w:rsidRDefault="005F63E0" w:rsidP="005F63E0">
            <w:pPr>
              <w:jc w:val="center"/>
              <w:rPr>
                <w:b/>
                <w:bCs/>
                <w:color w:val="FFFFFF"/>
              </w:rPr>
            </w:pPr>
            <w:r w:rsidRPr="00746EDE">
              <w:rPr>
                <w:b/>
                <w:bCs/>
                <w:color w:val="FFFFFF"/>
              </w:rPr>
              <w:t>Н1 15</w:t>
            </w:r>
          </w:p>
        </w:tc>
        <w:tc>
          <w:tcPr>
            <w:tcW w:w="1607" w:type="dxa"/>
            <w:tcBorders>
              <w:top w:val="single" w:sz="18" w:space="0" w:color="auto"/>
              <w:left w:val="nil"/>
              <w:bottom w:val="single" w:sz="18" w:space="0" w:color="auto"/>
              <w:right w:val="nil"/>
            </w:tcBorders>
            <w:shd w:val="clear" w:color="auto" w:fill="4F81BD"/>
            <w:vAlign w:val="center"/>
          </w:tcPr>
          <w:p w:rsidR="005F63E0" w:rsidRPr="00746EDE" w:rsidRDefault="005B6047" w:rsidP="005F63E0">
            <w:pPr>
              <w:jc w:val="center"/>
              <w:rPr>
                <w:b/>
                <w:bCs/>
                <w:color w:val="FFFFFF"/>
              </w:rPr>
            </w:pPr>
            <w:r w:rsidRPr="00746EDE">
              <w:rPr>
                <w:b/>
                <w:bCs/>
                <w:color w:val="FFFFFF"/>
              </w:rPr>
              <w:t>Change</w:t>
            </w:r>
          </w:p>
        </w:tc>
      </w:tr>
      <w:tr w:rsidR="005B6047" w:rsidRPr="00746EDE" w:rsidTr="001E6B33">
        <w:trPr>
          <w:trHeight w:val="315"/>
        </w:trPr>
        <w:tc>
          <w:tcPr>
            <w:tcW w:w="5103" w:type="dxa"/>
            <w:tcBorders>
              <w:left w:val="nil"/>
              <w:bottom w:val="nil"/>
              <w:right w:val="nil"/>
            </w:tcBorders>
            <w:shd w:val="clear" w:color="auto" w:fill="4F81BD"/>
            <w:vAlign w:val="center"/>
            <w:hideMark/>
          </w:tcPr>
          <w:p w:rsidR="005B6047" w:rsidRPr="00746EDE" w:rsidRDefault="005B6047" w:rsidP="005B6047">
            <w:pPr>
              <w:rPr>
                <w:b/>
                <w:bCs/>
                <w:color w:val="FFFFFF"/>
                <w:lang w:eastAsia="bg-BG"/>
              </w:rPr>
            </w:pPr>
            <w:r w:rsidRPr="00746EDE">
              <w:rPr>
                <w:b/>
                <w:bCs/>
                <w:color w:val="FFFFFF"/>
                <w:lang w:eastAsia="bg-BG"/>
              </w:rPr>
              <w:t>Costs of materials</w:t>
            </w:r>
          </w:p>
        </w:tc>
        <w:tc>
          <w:tcPr>
            <w:tcW w:w="1607" w:type="dxa"/>
            <w:shd w:val="clear" w:color="auto" w:fill="D8D8D8"/>
          </w:tcPr>
          <w:p w:rsidR="005B6047" w:rsidRPr="00746EDE" w:rsidRDefault="005B6047" w:rsidP="005B6047">
            <w:pPr>
              <w:jc w:val="right"/>
              <w:rPr>
                <w:color w:val="000000"/>
                <w:sz w:val="20"/>
                <w:szCs w:val="20"/>
              </w:rPr>
            </w:pPr>
            <w:r w:rsidRPr="00746EDE">
              <w:rPr>
                <w:color w:val="000000"/>
                <w:sz w:val="20"/>
                <w:szCs w:val="20"/>
              </w:rPr>
              <w:t>3 315</w:t>
            </w:r>
          </w:p>
        </w:tc>
        <w:tc>
          <w:tcPr>
            <w:tcW w:w="1607" w:type="dxa"/>
            <w:shd w:val="clear" w:color="auto" w:fill="D8D8D8"/>
          </w:tcPr>
          <w:p w:rsidR="005B6047" w:rsidRPr="00746EDE" w:rsidRDefault="005B6047" w:rsidP="005B6047">
            <w:pPr>
              <w:jc w:val="right"/>
              <w:rPr>
                <w:color w:val="000000"/>
                <w:sz w:val="20"/>
                <w:szCs w:val="20"/>
              </w:rPr>
            </w:pPr>
            <w:r w:rsidRPr="00746EDE">
              <w:rPr>
                <w:color w:val="000000"/>
                <w:sz w:val="20"/>
                <w:szCs w:val="20"/>
              </w:rPr>
              <w:t>2 865</w:t>
            </w:r>
          </w:p>
        </w:tc>
        <w:tc>
          <w:tcPr>
            <w:tcW w:w="1607" w:type="dxa"/>
            <w:shd w:val="clear" w:color="auto" w:fill="D8D8D8"/>
          </w:tcPr>
          <w:p w:rsidR="005B6047" w:rsidRPr="00746EDE" w:rsidRDefault="005B6047" w:rsidP="005B6047">
            <w:pPr>
              <w:jc w:val="right"/>
              <w:rPr>
                <w:color w:val="000000"/>
                <w:sz w:val="20"/>
                <w:szCs w:val="20"/>
              </w:rPr>
            </w:pPr>
            <w:r w:rsidRPr="00746EDE">
              <w:rPr>
                <w:color w:val="000000"/>
                <w:sz w:val="20"/>
                <w:szCs w:val="20"/>
              </w:rPr>
              <w:t>-13,6%</w:t>
            </w:r>
          </w:p>
        </w:tc>
      </w:tr>
      <w:tr w:rsidR="005B6047" w:rsidRPr="00746EDE" w:rsidTr="001E6B33">
        <w:trPr>
          <w:trHeight w:val="300"/>
        </w:trPr>
        <w:tc>
          <w:tcPr>
            <w:tcW w:w="5103" w:type="dxa"/>
            <w:tcBorders>
              <w:left w:val="nil"/>
              <w:bottom w:val="nil"/>
              <w:right w:val="nil"/>
            </w:tcBorders>
            <w:shd w:val="clear" w:color="auto" w:fill="4F81BD"/>
            <w:vAlign w:val="center"/>
            <w:hideMark/>
          </w:tcPr>
          <w:p w:rsidR="005B6047" w:rsidRPr="00746EDE" w:rsidRDefault="005B6047" w:rsidP="005B6047">
            <w:pPr>
              <w:rPr>
                <w:b/>
                <w:bCs/>
                <w:color w:val="FFFFFF"/>
                <w:lang w:eastAsia="bg-BG"/>
              </w:rPr>
            </w:pPr>
            <w:r w:rsidRPr="00746EDE">
              <w:rPr>
                <w:b/>
                <w:bCs/>
                <w:color w:val="FFFFFF"/>
                <w:lang w:eastAsia="bg-BG"/>
              </w:rPr>
              <w:t>Compensation costs</w:t>
            </w:r>
          </w:p>
        </w:tc>
        <w:tc>
          <w:tcPr>
            <w:tcW w:w="1607" w:type="dxa"/>
          </w:tcPr>
          <w:p w:rsidR="005B6047" w:rsidRPr="00746EDE" w:rsidRDefault="005B6047" w:rsidP="005B6047">
            <w:pPr>
              <w:jc w:val="right"/>
              <w:rPr>
                <w:color w:val="000000"/>
                <w:sz w:val="20"/>
                <w:szCs w:val="20"/>
              </w:rPr>
            </w:pPr>
            <w:r w:rsidRPr="00746EDE">
              <w:rPr>
                <w:color w:val="000000"/>
                <w:sz w:val="20"/>
                <w:szCs w:val="20"/>
              </w:rPr>
              <w:t>2 909</w:t>
            </w:r>
          </w:p>
        </w:tc>
        <w:tc>
          <w:tcPr>
            <w:tcW w:w="1607" w:type="dxa"/>
          </w:tcPr>
          <w:p w:rsidR="005B6047" w:rsidRPr="00746EDE" w:rsidRDefault="005B6047" w:rsidP="005B6047">
            <w:pPr>
              <w:jc w:val="right"/>
              <w:rPr>
                <w:color w:val="000000"/>
                <w:sz w:val="20"/>
                <w:szCs w:val="20"/>
              </w:rPr>
            </w:pPr>
            <w:r w:rsidRPr="00746EDE">
              <w:rPr>
                <w:color w:val="000000"/>
                <w:sz w:val="20"/>
                <w:szCs w:val="20"/>
              </w:rPr>
              <w:t>8 409</w:t>
            </w:r>
          </w:p>
        </w:tc>
        <w:tc>
          <w:tcPr>
            <w:tcW w:w="1607" w:type="dxa"/>
          </w:tcPr>
          <w:p w:rsidR="005B6047" w:rsidRPr="00746EDE" w:rsidRDefault="005B6047" w:rsidP="005B6047">
            <w:pPr>
              <w:jc w:val="right"/>
              <w:rPr>
                <w:color w:val="000000"/>
                <w:sz w:val="20"/>
                <w:szCs w:val="20"/>
              </w:rPr>
            </w:pPr>
            <w:r w:rsidRPr="00746EDE">
              <w:rPr>
                <w:color w:val="000000"/>
                <w:sz w:val="20"/>
                <w:szCs w:val="20"/>
              </w:rPr>
              <w:t>189,1%</w:t>
            </w:r>
          </w:p>
        </w:tc>
      </w:tr>
      <w:tr w:rsidR="005B6047" w:rsidRPr="00746EDE" w:rsidTr="001E6B33">
        <w:trPr>
          <w:trHeight w:val="300"/>
        </w:trPr>
        <w:tc>
          <w:tcPr>
            <w:tcW w:w="5103" w:type="dxa"/>
            <w:tcBorders>
              <w:left w:val="nil"/>
              <w:bottom w:val="nil"/>
              <w:right w:val="nil"/>
            </w:tcBorders>
            <w:shd w:val="clear" w:color="auto" w:fill="4F81BD"/>
            <w:vAlign w:val="center"/>
            <w:hideMark/>
          </w:tcPr>
          <w:p w:rsidR="005B6047" w:rsidRPr="00746EDE" w:rsidRDefault="005B6047" w:rsidP="005B6047">
            <w:pPr>
              <w:rPr>
                <w:b/>
                <w:bCs/>
                <w:color w:val="FFFFFF"/>
                <w:lang w:eastAsia="bg-BG"/>
              </w:rPr>
            </w:pPr>
            <w:r w:rsidRPr="00746EDE">
              <w:rPr>
                <w:b/>
                <w:bCs/>
                <w:color w:val="FFFFFF"/>
                <w:lang w:eastAsia="bg-BG"/>
              </w:rPr>
              <w:t>Costs of external services</w:t>
            </w:r>
          </w:p>
        </w:tc>
        <w:tc>
          <w:tcPr>
            <w:tcW w:w="1607" w:type="dxa"/>
            <w:shd w:val="clear" w:color="auto" w:fill="D8D8D8"/>
          </w:tcPr>
          <w:p w:rsidR="005B6047" w:rsidRPr="00746EDE" w:rsidRDefault="005B6047" w:rsidP="005B6047">
            <w:pPr>
              <w:jc w:val="right"/>
              <w:rPr>
                <w:color w:val="000000"/>
                <w:sz w:val="20"/>
                <w:szCs w:val="20"/>
              </w:rPr>
            </w:pPr>
            <w:r w:rsidRPr="00746EDE">
              <w:rPr>
                <w:color w:val="000000"/>
                <w:sz w:val="20"/>
                <w:szCs w:val="20"/>
              </w:rPr>
              <w:t>21 412</w:t>
            </w:r>
          </w:p>
        </w:tc>
        <w:tc>
          <w:tcPr>
            <w:tcW w:w="1607" w:type="dxa"/>
            <w:shd w:val="clear" w:color="auto" w:fill="D8D8D8"/>
          </w:tcPr>
          <w:p w:rsidR="005B6047" w:rsidRPr="00746EDE" w:rsidRDefault="005B6047" w:rsidP="005B6047">
            <w:pPr>
              <w:jc w:val="right"/>
              <w:rPr>
                <w:color w:val="000000"/>
                <w:sz w:val="20"/>
                <w:szCs w:val="20"/>
              </w:rPr>
            </w:pPr>
            <w:r w:rsidRPr="00746EDE">
              <w:rPr>
                <w:color w:val="000000"/>
                <w:sz w:val="20"/>
                <w:szCs w:val="20"/>
              </w:rPr>
              <w:t>18 616</w:t>
            </w:r>
          </w:p>
        </w:tc>
        <w:tc>
          <w:tcPr>
            <w:tcW w:w="1607" w:type="dxa"/>
            <w:shd w:val="clear" w:color="auto" w:fill="D8D8D8"/>
          </w:tcPr>
          <w:p w:rsidR="005B6047" w:rsidRPr="00746EDE" w:rsidRDefault="005B6047" w:rsidP="005B6047">
            <w:pPr>
              <w:jc w:val="right"/>
              <w:rPr>
                <w:color w:val="000000"/>
                <w:sz w:val="20"/>
                <w:szCs w:val="20"/>
              </w:rPr>
            </w:pPr>
            <w:r w:rsidRPr="00746EDE">
              <w:rPr>
                <w:color w:val="000000"/>
                <w:sz w:val="20"/>
                <w:szCs w:val="20"/>
              </w:rPr>
              <w:t>-13,1%</w:t>
            </w:r>
          </w:p>
        </w:tc>
      </w:tr>
      <w:tr w:rsidR="005B6047" w:rsidRPr="00746EDE" w:rsidTr="001E6B33">
        <w:trPr>
          <w:trHeight w:val="300"/>
        </w:trPr>
        <w:tc>
          <w:tcPr>
            <w:tcW w:w="5103" w:type="dxa"/>
            <w:tcBorders>
              <w:left w:val="nil"/>
              <w:bottom w:val="nil"/>
              <w:right w:val="nil"/>
            </w:tcBorders>
            <w:shd w:val="clear" w:color="auto" w:fill="4F81BD"/>
            <w:vAlign w:val="center"/>
            <w:hideMark/>
          </w:tcPr>
          <w:p w:rsidR="005B6047" w:rsidRPr="00746EDE" w:rsidRDefault="005B6047" w:rsidP="005B6047">
            <w:pPr>
              <w:ind w:right="-108"/>
              <w:rPr>
                <w:b/>
                <w:bCs/>
                <w:color w:val="FFFFFF"/>
                <w:lang w:eastAsia="bg-BG"/>
              </w:rPr>
            </w:pPr>
            <w:r w:rsidRPr="00746EDE">
              <w:rPr>
                <w:b/>
                <w:bCs/>
                <w:color w:val="FFFFFF"/>
                <w:lang w:eastAsia="bg-BG"/>
              </w:rPr>
              <w:t>Book value of assets sold</w:t>
            </w:r>
          </w:p>
        </w:tc>
        <w:tc>
          <w:tcPr>
            <w:tcW w:w="1607" w:type="dxa"/>
          </w:tcPr>
          <w:p w:rsidR="005B6047" w:rsidRPr="00746EDE" w:rsidRDefault="005B6047" w:rsidP="005B6047">
            <w:pPr>
              <w:jc w:val="right"/>
              <w:rPr>
                <w:color w:val="000000"/>
                <w:sz w:val="20"/>
                <w:szCs w:val="20"/>
              </w:rPr>
            </w:pPr>
            <w:r w:rsidRPr="00746EDE">
              <w:rPr>
                <w:color w:val="000000"/>
                <w:sz w:val="20"/>
                <w:szCs w:val="20"/>
              </w:rPr>
              <w:t>611</w:t>
            </w:r>
          </w:p>
        </w:tc>
        <w:tc>
          <w:tcPr>
            <w:tcW w:w="1607" w:type="dxa"/>
          </w:tcPr>
          <w:p w:rsidR="005B6047" w:rsidRPr="00746EDE" w:rsidRDefault="005B6047" w:rsidP="005B6047">
            <w:pPr>
              <w:jc w:val="right"/>
              <w:rPr>
                <w:color w:val="000000"/>
                <w:sz w:val="20"/>
                <w:szCs w:val="20"/>
              </w:rPr>
            </w:pPr>
            <w:r w:rsidRPr="00746EDE">
              <w:rPr>
                <w:color w:val="000000"/>
                <w:sz w:val="20"/>
                <w:szCs w:val="20"/>
              </w:rPr>
              <w:t>801</w:t>
            </w:r>
          </w:p>
        </w:tc>
        <w:tc>
          <w:tcPr>
            <w:tcW w:w="1607" w:type="dxa"/>
          </w:tcPr>
          <w:p w:rsidR="005B6047" w:rsidRPr="00746EDE" w:rsidRDefault="005B6047" w:rsidP="005B6047">
            <w:pPr>
              <w:jc w:val="right"/>
              <w:rPr>
                <w:color w:val="000000"/>
                <w:sz w:val="20"/>
                <w:szCs w:val="20"/>
              </w:rPr>
            </w:pPr>
            <w:r w:rsidRPr="00746EDE">
              <w:rPr>
                <w:color w:val="000000"/>
                <w:sz w:val="20"/>
                <w:szCs w:val="20"/>
              </w:rPr>
              <w:t>31,1%</w:t>
            </w:r>
          </w:p>
        </w:tc>
      </w:tr>
      <w:tr w:rsidR="005B6047" w:rsidRPr="00746EDE" w:rsidTr="001E6B33">
        <w:trPr>
          <w:trHeight w:val="300"/>
        </w:trPr>
        <w:tc>
          <w:tcPr>
            <w:tcW w:w="5103" w:type="dxa"/>
            <w:tcBorders>
              <w:left w:val="nil"/>
              <w:bottom w:val="nil"/>
              <w:right w:val="nil"/>
            </w:tcBorders>
            <w:shd w:val="clear" w:color="auto" w:fill="4F81BD"/>
            <w:vAlign w:val="center"/>
          </w:tcPr>
          <w:p w:rsidR="005B6047" w:rsidRPr="00746EDE" w:rsidRDefault="005B6047" w:rsidP="005B6047">
            <w:pPr>
              <w:rPr>
                <w:b/>
                <w:bCs/>
                <w:color w:val="FFFFFF"/>
                <w:lang w:eastAsia="bg-BG"/>
              </w:rPr>
            </w:pPr>
            <w:r w:rsidRPr="00746EDE">
              <w:rPr>
                <w:b/>
                <w:bCs/>
                <w:color w:val="FFFFFF"/>
                <w:lang w:eastAsia="bg-BG"/>
              </w:rPr>
              <w:t>Other operating costs</w:t>
            </w:r>
          </w:p>
        </w:tc>
        <w:tc>
          <w:tcPr>
            <w:tcW w:w="1607" w:type="dxa"/>
            <w:shd w:val="clear" w:color="auto" w:fill="D8D8D8"/>
          </w:tcPr>
          <w:p w:rsidR="005B6047" w:rsidRPr="00746EDE" w:rsidRDefault="005B6047" w:rsidP="005B6047">
            <w:pPr>
              <w:jc w:val="right"/>
              <w:rPr>
                <w:color w:val="000000"/>
                <w:sz w:val="20"/>
                <w:szCs w:val="20"/>
              </w:rPr>
            </w:pPr>
            <w:r w:rsidRPr="00746EDE">
              <w:rPr>
                <w:color w:val="000000"/>
                <w:sz w:val="20"/>
                <w:szCs w:val="20"/>
              </w:rPr>
              <w:t>436</w:t>
            </w:r>
          </w:p>
        </w:tc>
        <w:tc>
          <w:tcPr>
            <w:tcW w:w="1607" w:type="dxa"/>
            <w:shd w:val="clear" w:color="auto" w:fill="D8D8D8"/>
          </w:tcPr>
          <w:p w:rsidR="005B6047" w:rsidRPr="00746EDE" w:rsidRDefault="005B6047" w:rsidP="005B6047">
            <w:pPr>
              <w:jc w:val="right"/>
              <w:rPr>
                <w:color w:val="000000"/>
                <w:sz w:val="20"/>
                <w:szCs w:val="20"/>
              </w:rPr>
            </w:pPr>
            <w:r w:rsidRPr="00746EDE">
              <w:rPr>
                <w:color w:val="000000"/>
                <w:sz w:val="20"/>
                <w:szCs w:val="20"/>
              </w:rPr>
              <w:t>450</w:t>
            </w:r>
          </w:p>
        </w:tc>
        <w:tc>
          <w:tcPr>
            <w:tcW w:w="1607" w:type="dxa"/>
            <w:shd w:val="clear" w:color="auto" w:fill="D8D8D8"/>
          </w:tcPr>
          <w:p w:rsidR="005B6047" w:rsidRPr="00746EDE" w:rsidRDefault="005B6047" w:rsidP="005B6047">
            <w:pPr>
              <w:jc w:val="right"/>
              <w:rPr>
                <w:color w:val="000000"/>
                <w:sz w:val="20"/>
                <w:szCs w:val="20"/>
              </w:rPr>
            </w:pPr>
            <w:r w:rsidRPr="00746EDE">
              <w:rPr>
                <w:color w:val="000000"/>
                <w:sz w:val="20"/>
                <w:szCs w:val="20"/>
              </w:rPr>
              <w:t>3,2%</w:t>
            </w:r>
          </w:p>
        </w:tc>
      </w:tr>
      <w:tr w:rsidR="005B6047" w:rsidRPr="00746EDE" w:rsidTr="001E6B33">
        <w:trPr>
          <w:trHeight w:val="315"/>
        </w:trPr>
        <w:tc>
          <w:tcPr>
            <w:tcW w:w="5103" w:type="dxa"/>
            <w:tcBorders>
              <w:left w:val="nil"/>
              <w:bottom w:val="nil"/>
              <w:right w:val="nil"/>
            </w:tcBorders>
            <w:shd w:val="clear" w:color="auto" w:fill="4F81BD"/>
            <w:vAlign w:val="center"/>
          </w:tcPr>
          <w:p w:rsidR="005B6047" w:rsidRPr="00746EDE" w:rsidRDefault="005B6047" w:rsidP="005B6047">
            <w:pPr>
              <w:rPr>
                <w:b/>
                <w:bCs/>
                <w:color w:val="FFFFFF"/>
                <w:lang w:eastAsia="bg-BG"/>
              </w:rPr>
            </w:pPr>
            <w:r w:rsidRPr="00746EDE">
              <w:rPr>
                <w:b/>
                <w:bCs/>
                <w:color w:val="FFFFFF"/>
              </w:rPr>
              <w:t>Depreciation</w:t>
            </w:r>
          </w:p>
        </w:tc>
        <w:tc>
          <w:tcPr>
            <w:tcW w:w="1607" w:type="dxa"/>
          </w:tcPr>
          <w:p w:rsidR="005B6047" w:rsidRPr="00746EDE" w:rsidRDefault="005B6047" w:rsidP="005B6047">
            <w:pPr>
              <w:jc w:val="right"/>
              <w:rPr>
                <w:color w:val="000000"/>
                <w:sz w:val="20"/>
                <w:szCs w:val="20"/>
              </w:rPr>
            </w:pPr>
            <w:r w:rsidRPr="00746EDE">
              <w:rPr>
                <w:color w:val="000000"/>
                <w:sz w:val="20"/>
                <w:szCs w:val="20"/>
              </w:rPr>
              <w:t>2 259</w:t>
            </w:r>
          </w:p>
        </w:tc>
        <w:tc>
          <w:tcPr>
            <w:tcW w:w="1607" w:type="dxa"/>
          </w:tcPr>
          <w:p w:rsidR="005B6047" w:rsidRPr="00746EDE" w:rsidRDefault="005B6047" w:rsidP="005B6047">
            <w:pPr>
              <w:jc w:val="right"/>
              <w:rPr>
                <w:color w:val="000000"/>
                <w:sz w:val="20"/>
                <w:szCs w:val="20"/>
              </w:rPr>
            </w:pPr>
            <w:r w:rsidRPr="00746EDE">
              <w:rPr>
                <w:color w:val="000000"/>
                <w:sz w:val="20"/>
                <w:szCs w:val="20"/>
              </w:rPr>
              <w:t>3 354</w:t>
            </w:r>
          </w:p>
        </w:tc>
        <w:tc>
          <w:tcPr>
            <w:tcW w:w="1607" w:type="dxa"/>
          </w:tcPr>
          <w:p w:rsidR="005B6047" w:rsidRPr="00746EDE" w:rsidRDefault="005B6047" w:rsidP="005B6047">
            <w:pPr>
              <w:jc w:val="right"/>
              <w:rPr>
                <w:color w:val="000000"/>
                <w:sz w:val="20"/>
                <w:szCs w:val="20"/>
              </w:rPr>
            </w:pPr>
            <w:r w:rsidRPr="00746EDE">
              <w:rPr>
                <w:color w:val="000000"/>
                <w:sz w:val="20"/>
                <w:szCs w:val="20"/>
              </w:rPr>
              <w:t>48,5%</w:t>
            </w:r>
          </w:p>
        </w:tc>
      </w:tr>
      <w:tr w:rsidR="005B6047" w:rsidRPr="00746EDE" w:rsidTr="001E6B33">
        <w:trPr>
          <w:trHeight w:val="315"/>
        </w:trPr>
        <w:tc>
          <w:tcPr>
            <w:tcW w:w="5103" w:type="dxa"/>
            <w:tcBorders>
              <w:top w:val="double" w:sz="6" w:space="0" w:color="auto"/>
              <w:left w:val="nil"/>
              <w:bottom w:val="single" w:sz="18" w:space="0" w:color="auto"/>
              <w:right w:val="nil"/>
            </w:tcBorders>
            <w:shd w:val="clear" w:color="auto" w:fill="FFFFFF"/>
            <w:vAlign w:val="center"/>
            <w:hideMark/>
          </w:tcPr>
          <w:p w:rsidR="005B6047" w:rsidRPr="00746EDE" w:rsidRDefault="005B6047" w:rsidP="005B6047">
            <w:pPr>
              <w:rPr>
                <w:b/>
                <w:bCs/>
                <w:color w:val="000000"/>
                <w:lang w:eastAsia="bg-BG"/>
              </w:rPr>
            </w:pPr>
            <w:r w:rsidRPr="00746EDE">
              <w:rPr>
                <w:b/>
                <w:bCs/>
                <w:color w:val="000000"/>
                <w:lang w:eastAsia="bg-BG"/>
              </w:rPr>
              <w:t>EBITDA</w:t>
            </w:r>
          </w:p>
        </w:tc>
        <w:tc>
          <w:tcPr>
            <w:tcW w:w="1607" w:type="dxa"/>
            <w:tcBorders>
              <w:top w:val="double" w:sz="6" w:space="0" w:color="auto"/>
              <w:left w:val="nil"/>
              <w:bottom w:val="single" w:sz="18" w:space="0" w:color="auto"/>
              <w:right w:val="nil"/>
            </w:tcBorders>
            <w:shd w:val="clear" w:color="auto" w:fill="FFFFFF"/>
          </w:tcPr>
          <w:p w:rsidR="005B6047" w:rsidRPr="00746EDE" w:rsidRDefault="005B6047" w:rsidP="005B6047">
            <w:pPr>
              <w:jc w:val="right"/>
              <w:rPr>
                <w:b/>
                <w:color w:val="000000"/>
                <w:sz w:val="20"/>
                <w:szCs w:val="20"/>
              </w:rPr>
            </w:pPr>
            <w:r w:rsidRPr="00746EDE">
              <w:rPr>
                <w:b/>
                <w:color w:val="000000"/>
                <w:sz w:val="20"/>
                <w:szCs w:val="20"/>
              </w:rPr>
              <w:t>6 648</w:t>
            </w:r>
          </w:p>
        </w:tc>
        <w:tc>
          <w:tcPr>
            <w:tcW w:w="1607" w:type="dxa"/>
            <w:tcBorders>
              <w:top w:val="double" w:sz="6" w:space="0" w:color="auto"/>
              <w:left w:val="nil"/>
              <w:bottom w:val="single" w:sz="18" w:space="0" w:color="auto"/>
              <w:right w:val="nil"/>
            </w:tcBorders>
            <w:shd w:val="clear" w:color="auto" w:fill="FFFFFF"/>
          </w:tcPr>
          <w:p w:rsidR="005B6047" w:rsidRPr="00746EDE" w:rsidRDefault="005B6047" w:rsidP="005B6047">
            <w:pPr>
              <w:jc w:val="right"/>
              <w:rPr>
                <w:b/>
                <w:color w:val="000000"/>
                <w:sz w:val="20"/>
                <w:szCs w:val="20"/>
              </w:rPr>
            </w:pPr>
            <w:r w:rsidRPr="00746EDE">
              <w:rPr>
                <w:b/>
                <w:color w:val="000000"/>
                <w:sz w:val="20"/>
                <w:szCs w:val="20"/>
              </w:rPr>
              <w:t>9 582</w:t>
            </w:r>
          </w:p>
        </w:tc>
        <w:tc>
          <w:tcPr>
            <w:tcW w:w="1607" w:type="dxa"/>
            <w:tcBorders>
              <w:top w:val="double" w:sz="6" w:space="0" w:color="auto"/>
              <w:left w:val="nil"/>
              <w:bottom w:val="single" w:sz="18" w:space="0" w:color="auto"/>
              <w:right w:val="nil"/>
            </w:tcBorders>
            <w:shd w:val="clear" w:color="auto" w:fill="FFFFFF"/>
          </w:tcPr>
          <w:p w:rsidR="005B6047" w:rsidRPr="00746EDE" w:rsidRDefault="005B6047" w:rsidP="005B6047">
            <w:pPr>
              <w:jc w:val="right"/>
              <w:rPr>
                <w:b/>
                <w:color w:val="000000"/>
                <w:sz w:val="20"/>
                <w:szCs w:val="20"/>
              </w:rPr>
            </w:pPr>
            <w:r w:rsidRPr="00746EDE">
              <w:rPr>
                <w:b/>
                <w:color w:val="000000"/>
                <w:sz w:val="20"/>
                <w:szCs w:val="20"/>
              </w:rPr>
              <w:t>44,1%</w:t>
            </w:r>
          </w:p>
        </w:tc>
      </w:tr>
      <w:tr w:rsidR="005B6047" w:rsidRPr="00746EDE" w:rsidTr="001E6B33">
        <w:trPr>
          <w:trHeight w:val="315"/>
        </w:trPr>
        <w:tc>
          <w:tcPr>
            <w:tcW w:w="5103" w:type="dxa"/>
            <w:tcBorders>
              <w:top w:val="double" w:sz="6" w:space="0" w:color="auto"/>
              <w:left w:val="nil"/>
              <w:bottom w:val="single" w:sz="18" w:space="0" w:color="auto"/>
              <w:right w:val="nil"/>
            </w:tcBorders>
            <w:shd w:val="clear" w:color="auto" w:fill="FFFFFF"/>
            <w:vAlign w:val="center"/>
            <w:hideMark/>
          </w:tcPr>
          <w:p w:rsidR="005B6047" w:rsidRPr="00746EDE" w:rsidRDefault="005B6047" w:rsidP="005B6047">
            <w:pPr>
              <w:rPr>
                <w:b/>
                <w:bCs/>
                <w:color w:val="000000"/>
                <w:lang w:eastAsia="bg-BG"/>
              </w:rPr>
            </w:pPr>
            <w:r w:rsidRPr="00746EDE">
              <w:rPr>
                <w:b/>
                <w:bCs/>
                <w:color w:val="000000"/>
                <w:lang w:eastAsia="bg-BG"/>
              </w:rPr>
              <w:t>Net profit for the period</w:t>
            </w:r>
          </w:p>
        </w:tc>
        <w:tc>
          <w:tcPr>
            <w:tcW w:w="1607" w:type="dxa"/>
            <w:tcBorders>
              <w:top w:val="double" w:sz="6" w:space="0" w:color="auto"/>
              <w:left w:val="nil"/>
              <w:bottom w:val="single" w:sz="18" w:space="0" w:color="auto"/>
              <w:right w:val="nil"/>
            </w:tcBorders>
            <w:shd w:val="clear" w:color="auto" w:fill="FFFFFF"/>
          </w:tcPr>
          <w:p w:rsidR="005B6047" w:rsidRPr="00746EDE" w:rsidRDefault="005B6047" w:rsidP="005B6047">
            <w:pPr>
              <w:jc w:val="right"/>
              <w:rPr>
                <w:b/>
                <w:color w:val="000000"/>
                <w:sz w:val="20"/>
                <w:szCs w:val="20"/>
              </w:rPr>
            </w:pPr>
            <w:r w:rsidRPr="00746EDE">
              <w:rPr>
                <w:b/>
                <w:color w:val="000000"/>
                <w:sz w:val="20"/>
                <w:szCs w:val="20"/>
              </w:rPr>
              <w:t>5 201</w:t>
            </w:r>
          </w:p>
        </w:tc>
        <w:tc>
          <w:tcPr>
            <w:tcW w:w="1607" w:type="dxa"/>
            <w:tcBorders>
              <w:top w:val="double" w:sz="6" w:space="0" w:color="auto"/>
              <w:left w:val="nil"/>
              <w:bottom w:val="single" w:sz="18" w:space="0" w:color="auto"/>
              <w:right w:val="nil"/>
            </w:tcBorders>
            <w:shd w:val="clear" w:color="auto" w:fill="FFFFFF"/>
          </w:tcPr>
          <w:p w:rsidR="005B6047" w:rsidRPr="00746EDE" w:rsidRDefault="005B6047" w:rsidP="005B6047">
            <w:pPr>
              <w:jc w:val="right"/>
              <w:rPr>
                <w:b/>
                <w:color w:val="000000"/>
                <w:sz w:val="20"/>
                <w:szCs w:val="20"/>
              </w:rPr>
            </w:pPr>
            <w:r w:rsidRPr="00746EDE">
              <w:rPr>
                <w:b/>
                <w:color w:val="000000"/>
                <w:sz w:val="20"/>
                <w:szCs w:val="20"/>
              </w:rPr>
              <w:t>7 980</w:t>
            </w:r>
          </w:p>
        </w:tc>
        <w:tc>
          <w:tcPr>
            <w:tcW w:w="1607" w:type="dxa"/>
            <w:tcBorders>
              <w:top w:val="double" w:sz="6" w:space="0" w:color="auto"/>
              <w:left w:val="nil"/>
              <w:bottom w:val="single" w:sz="18" w:space="0" w:color="auto"/>
              <w:right w:val="nil"/>
            </w:tcBorders>
            <w:shd w:val="clear" w:color="auto" w:fill="FFFFFF"/>
          </w:tcPr>
          <w:p w:rsidR="005B6047" w:rsidRPr="00746EDE" w:rsidRDefault="005B6047" w:rsidP="005B6047">
            <w:pPr>
              <w:jc w:val="right"/>
              <w:rPr>
                <w:b/>
                <w:color w:val="000000"/>
                <w:sz w:val="20"/>
                <w:szCs w:val="20"/>
              </w:rPr>
            </w:pPr>
            <w:r w:rsidRPr="00746EDE">
              <w:rPr>
                <w:b/>
                <w:color w:val="000000"/>
                <w:sz w:val="20"/>
                <w:szCs w:val="20"/>
              </w:rPr>
              <w:t>53,4%</w:t>
            </w:r>
          </w:p>
        </w:tc>
      </w:tr>
    </w:tbl>
    <w:p w:rsidR="00523813" w:rsidRPr="00746EDE" w:rsidRDefault="00523813" w:rsidP="00996F8B">
      <w:pPr>
        <w:pStyle w:val="BodyText"/>
        <w:spacing w:after="120"/>
        <w:ind w:right="-180"/>
        <w:rPr>
          <w:lang w:val="en-GB"/>
        </w:rPr>
      </w:pPr>
    </w:p>
    <w:p w:rsidR="00586E94" w:rsidRPr="00746EDE" w:rsidRDefault="00F75699" w:rsidP="00996F8B">
      <w:pPr>
        <w:pStyle w:val="BodyText"/>
        <w:spacing w:after="120"/>
        <w:ind w:right="-180"/>
        <w:rPr>
          <w:lang w:val="en-GB"/>
        </w:rPr>
      </w:pPr>
      <w:r w:rsidRPr="00746EDE">
        <w:rPr>
          <w:lang w:val="en-GB"/>
        </w:rPr>
        <w:t>The actions undertaken last year for optimization of operations had highly positive effect on profitability. On annual basis, EBITDA jumped 44% and EBITDA Margin peaked to 23</w:t>
      </w:r>
      <w:proofErr w:type="gramStart"/>
      <w:r w:rsidRPr="00746EDE">
        <w:rPr>
          <w:lang w:val="en-GB"/>
        </w:rPr>
        <w:t>,5</w:t>
      </w:r>
      <w:proofErr w:type="gramEnd"/>
      <w:r w:rsidRPr="00746EDE">
        <w:rPr>
          <w:lang w:val="en-GB"/>
        </w:rPr>
        <w:t>% from 18,8% last year.</w:t>
      </w:r>
      <w:r w:rsidR="00757590" w:rsidRPr="00746EDE">
        <w:rPr>
          <w:lang w:val="en-GB"/>
        </w:rPr>
        <w:t xml:space="preserve"> Considerable investments in 2014 in vehicles and equipment resulted in 48</w:t>
      </w:r>
      <w:proofErr w:type="gramStart"/>
      <w:r w:rsidR="00757590" w:rsidRPr="00746EDE">
        <w:rPr>
          <w:lang w:val="en-GB"/>
        </w:rPr>
        <w:t>,5</w:t>
      </w:r>
      <w:proofErr w:type="gramEnd"/>
      <w:r w:rsidR="00757590" w:rsidRPr="00746EDE">
        <w:rPr>
          <w:lang w:val="en-GB"/>
        </w:rPr>
        <w:t>% higher depreciation costs and increase in financial expenses from BGN 162k to BGN 411k (including revaluation of exposures to RON). Those expenses are largely offset by</w:t>
      </w:r>
      <w:r w:rsidR="00825DEC" w:rsidRPr="00746EDE">
        <w:rPr>
          <w:lang w:val="en-GB"/>
        </w:rPr>
        <w:t xml:space="preserve"> higher dividends distributed by daughter companies – BGN 2 745k, compared to BGN 1 397k in 2014. On the bottom line it </w:t>
      </w:r>
      <w:r w:rsidR="00746EDE" w:rsidRPr="00746EDE">
        <w:rPr>
          <w:lang w:val="en-GB"/>
        </w:rPr>
        <w:t>lead to 53</w:t>
      </w:r>
      <w:proofErr w:type="gramStart"/>
      <w:r w:rsidR="00746EDE" w:rsidRPr="00746EDE">
        <w:rPr>
          <w:lang w:val="en-GB"/>
        </w:rPr>
        <w:t>,4</w:t>
      </w:r>
      <w:proofErr w:type="gramEnd"/>
      <w:r w:rsidR="00746EDE" w:rsidRPr="00746EDE">
        <w:rPr>
          <w:lang w:val="en-GB"/>
        </w:rPr>
        <w:t>% increase in non-consolidated net profit.</w:t>
      </w:r>
    </w:p>
    <w:p w:rsidR="007F5DAE" w:rsidRPr="00746EDE" w:rsidRDefault="00746EDE" w:rsidP="007F5DAE">
      <w:pPr>
        <w:spacing w:after="120"/>
        <w:ind w:right="-180"/>
        <w:jc w:val="center"/>
        <w:rPr>
          <w:i/>
          <w:u w:val="single"/>
          <w:lang w:eastAsia="x-none"/>
        </w:rPr>
      </w:pPr>
      <w:r w:rsidRPr="00746EDE">
        <w:rPr>
          <w:i/>
          <w:u w:val="single"/>
          <w:lang w:eastAsia="x-none"/>
        </w:rPr>
        <w:t>Cost Structure, consolidated</w:t>
      </w:r>
    </w:p>
    <w:tbl>
      <w:tblPr>
        <w:tblW w:w="9924" w:type="dxa"/>
        <w:tblBorders>
          <w:top w:val="single" w:sz="18" w:space="0" w:color="auto"/>
          <w:bottom w:val="single" w:sz="18" w:space="0" w:color="auto"/>
        </w:tblBorders>
        <w:tblLayout w:type="fixed"/>
        <w:tblLook w:val="04E0" w:firstRow="1" w:lastRow="1" w:firstColumn="1" w:lastColumn="0" w:noHBand="0" w:noVBand="1"/>
      </w:tblPr>
      <w:tblGrid>
        <w:gridCol w:w="5103"/>
        <w:gridCol w:w="1607"/>
        <w:gridCol w:w="1607"/>
        <w:gridCol w:w="1607"/>
      </w:tblGrid>
      <w:tr w:rsidR="005F63E0" w:rsidRPr="00746EDE" w:rsidTr="00746EDE">
        <w:trPr>
          <w:trHeight w:val="330"/>
        </w:trPr>
        <w:tc>
          <w:tcPr>
            <w:tcW w:w="5103" w:type="dxa"/>
            <w:tcBorders>
              <w:left w:val="nil"/>
              <w:bottom w:val="single" w:sz="18" w:space="0" w:color="auto"/>
              <w:right w:val="nil"/>
            </w:tcBorders>
            <w:shd w:val="clear" w:color="auto" w:fill="4F81BD"/>
            <w:noWrap/>
            <w:vAlign w:val="center"/>
            <w:hideMark/>
          </w:tcPr>
          <w:p w:rsidR="005F63E0" w:rsidRPr="00746EDE" w:rsidRDefault="00746EDE" w:rsidP="005F63E0">
            <w:pPr>
              <w:jc w:val="center"/>
              <w:rPr>
                <w:b/>
                <w:bCs/>
                <w:color w:val="FFFFFF"/>
                <w:lang w:eastAsia="bg-BG"/>
              </w:rPr>
            </w:pPr>
            <w:r w:rsidRPr="00746EDE">
              <w:rPr>
                <w:b/>
                <w:bCs/>
                <w:color w:val="FFFFFF"/>
                <w:lang w:eastAsia="bg-BG"/>
              </w:rPr>
              <w:t>In BGN ‘000</w:t>
            </w:r>
          </w:p>
        </w:tc>
        <w:tc>
          <w:tcPr>
            <w:tcW w:w="1607" w:type="dxa"/>
            <w:tcBorders>
              <w:top w:val="single" w:sz="18" w:space="0" w:color="auto"/>
              <w:left w:val="nil"/>
              <w:bottom w:val="single" w:sz="18" w:space="0" w:color="auto"/>
              <w:right w:val="nil"/>
            </w:tcBorders>
            <w:shd w:val="clear" w:color="auto" w:fill="4F81BD"/>
            <w:noWrap/>
          </w:tcPr>
          <w:p w:rsidR="005F63E0" w:rsidRPr="00746EDE" w:rsidRDefault="005F63E0" w:rsidP="005F63E0">
            <w:pPr>
              <w:jc w:val="center"/>
              <w:rPr>
                <w:b/>
                <w:bCs/>
                <w:color w:val="FFFFFF"/>
              </w:rPr>
            </w:pPr>
            <w:r w:rsidRPr="00746EDE">
              <w:rPr>
                <w:b/>
                <w:bCs/>
                <w:color w:val="FFFFFF"/>
              </w:rPr>
              <w:t>Н1 14</w:t>
            </w:r>
          </w:p>
        </w:tc>
        <w:tc>
          <w:tcPr>
            <w:tcW w:w="1607" w:type="dxa"/>
            <w:tcBorders>
              <w:top w:val="single" w:sz="18" w:space="0" w:color="auto"/>
              <w:left w:val="nil"/>
              <w:bottom w:val="single" w:sz="18" w:space="0" w:color="auto"/>
              <w:right w:val="nil"/>
            </w:tcBorders>
            <w:shd w:val="clear" w:color="auto" w:fill="4F81BD"/>
          </w:tcPr>
          <w:p w:rsidR="005F63E0" w:rsidRPr="00746EDE" w:rsidRDefault="005F63E0" w:rsidP="005F63E0">
            <w:pPr>
              <w:jc w:val="center"/>
              <w:rPr>
                <w:b/>
                <w:bCs/>
                <w:color w:val="FFFFFF"/>
              </w:rPr>
            </w:pPr>
            <w:r w:rsidRPr="00746EDE">
              <w:rPr>
                <w:b/>
                <w:bCs/>
                <w:color w:val="FFFFFF"/>
              </w:rPr>
              <w:t>Н1 15</w:t>
            </w:r>
          </w:p>
        </w:tc>
        <w:tc>
          <w:tcPr>
            <w:tcW w:w="1607" w:type="dxa"/>
            <w:tcBorders>
              <w:top w:val="single" w:sz="18" w:space="0" w:color="auto"/>
              <w:left w:val="nil"/>
              <w:bottom w:val="single" w:sz="18" w:space="0" w:color="auto"/>
              <w:right w:val="nil"/>
            </w:tcBorders>
            <w:shd w:val="clear" w:color="auto" w:fill="4F81BD"/>
            <w:vAlign w:val="center"/>
          </w:tcPr>
          <w:p w:rsidR="005F63E0" w:rsidRPr="00746EDE" w:rsidRDefault="00746EDE" w:rsidP="005F63E0">
            <w:pPr>
              <w:jc w:val="center"/>
              <w:rPr>
                <w:b/>
                <w:bCs/>
                <w:color w:val="FFFFFF"/>
              </w:rPr>
            </w:pPr>
            <w:r w:rsidRPr="00746EDE">
              <w:rPr>
                <w:b/>
                <w:bCs/>
                <w:color w:val="FFFFFF"/>
              </w:rPr>
              <w:t>Change</w:t>
            </w:r>
          </w:p>
        </w:tc>
      </w:tr>
      <w:tr w:rsidR="00746EDE" w:rsidRPr="00746EDE" w:rsidTr="00746EDE">
        <w:trPr>
          <w:trHeight w:val="315"/>
        </w:trPr>
        <w:tc>
          <w:tcPr>
            <w:tcW w:w="5103" w:type="dxa"/>
            <w:tcBorders>
              <w:left w:val="nil"/>
              <w:bottom w:val="nil"/>
              <w:right w:val="nil"/>
            </w:tcBorders>
            <w:shd w:val="clear" w:color="auto" w:fill="4F81BD"/>
            <w:vAlign w:val="center"/>
            <w:hideMark/>
          </w:tcPr>
          <w:p w:rsidR="00746EDE" w:rsidRPr="00746EDE" w:rsidRDefault="00746EDE" w:rsidP="00746EDE">
            <w:pPr>
              <w:rPr>
                <w:b/>
                <w:bCs/>
                <w:color w:val="FFFFFF"/>
                <w:lang w:eastAsia="bg-BG"/>
              </w:rPr>
            </w:pPr>
            <w:r w:rsidRPr="00746EDE">
              <w:rPr>
                <w:b/>
                <w:bCs/>
                <w:color w:val="FFFFFF"/>
                <w:lang w:eastAsia="bg-BG"/>
              </w:rPr>
              <w:t>Costs of materials</w:t>
            </w:r>
          </w:p>
        </w:tc>
        <w:tc>
          <w:tcPr>
            <w:tcW w:w="1607" w:type="dxa"/>
            <w:shd w:val="clear" w:color="auto" w:fill="D8D8D8"/>
            <w:vAlign w:val="center"/>
          </w:tcPr>
          <w:p w:rsidR="00746EDE" w:rsidRPr="00746EDE" w:rsidRDefault="00746EDE" w:rsidP="00746EDE">
            <w:pPr>
              <w:jc w:val="right"/>
              <w:rPr>
                <w:sz w:val="20"/>
                <w:szCs w:val="20"/>
                <w:lang w:eastAsia="bg-BG"/>
              </w:rPr>
            </w:pPr>
            <w:r w:rsidRPr="00746EDE">
              <w:rPr>
                <w:sz w:val="20"/>
                <w:szCs w:val="20"/>
              </w:rPr>
              <w:t>3 315</w:t>
            </w:r>
          </w:p>
        </w:tc>
        <w:tc>
          <w:tcPr>
            <w:tcW w:w="1607" w:type="dxa"/>
            <w:shd w:val="clear" w:color="auto" w:fill="D8D8D8"/>
            <w:vAlign w:val="center"/>
          </w:tcPr>
          <w:p w:rsidR="00746EDE" w:rsidRPr="00746EDE" w:rsidRDefault="00746EDE" w:rsidP="00746EDE">
            <w:pPr>
              <w:jc w:val="right"/>
              <w:rPr>
                <w:sz w:val="20"/>
                <w:szCs w:val="20"/>
              </w:rPr>
            </w:pPr>
            <w:r w:rsidRPr="00746EDE">
              <w:rPr>
                <w:sz w:val="20"/>
                <w:szCs w:val="20"/>
              </w:rPr>
              <w:t>3 413</w:t>
            </w:r>
          </w:p>
        </w:tc>
        <w:tc>
          <w:tcPr>
            <w:tcW w:w="1607" w:type="dxa"/>
            <w:shd w:val="clear" w:color="auto" w:fill="D8D8D8"/>
            <w:vAlign w:val="center"/>
          </w:tcPr>
          <w:p w:rsidR="00746EDE" w:rsidRPr="00746EDE" w:rsidRDefault="00746EDE" w:rsidP="00746EDE">
            <w:pPr>
              <w:jc w:val="right"/>
              <w:rPr>
                <w:sz w:val="20"/>
                <w:szCs w:val="20"/>
              </w:rPr>
            </w:pPr>
            <w:r w:rsidRPr="00746EDE">
              <w:rPr>
                <w:sz w:val="20"/>
                <w:szCs w:val="20"/>
              </w:rPr>
              <w:t>3,0%</w:t>
            </w:r>
          </w:p>
        </w:tc>
      </w:tr>
      <w:tr w:rsidR="00746EDE" w:rsidRPr="00746EDE" w:rsidTr="00746EDE">
        <w:trPr>
          <w:trHeight w:val="300"/>
        </w:trPr>
        <w:tc>
          <w:tcPr>
            <w:tcW w:w="5103" w:type="dxa"/>
            <w:tcBorders>
              <w:left w:val="nil"/>
              <w:bottom w:val="nil"/>
              <w:right w:val="nil"/>
            </w:tcBorders>
            <w:shd w:val="clear" w:color="auto" w:fill="4F81BD"/>
            <w:vAlign w:val="center"/>
            <w:hideMark/>
          </w:tcPr>
          <w:p w:rsidR="00746EDE" w:rsidRPr="00746EDE" w:rsidRDefault="00746EDE" w:rsidP="00746EDE">
            <w:pPr>
              <w:rPr>
                <w:b/>
                <w:bCs/>
                <w:color w:val="FFFFFF"/>
                <w:lang w:eastAsia="bg-BG"/>
              </w:rPr>
            </w:pPr>
            <w:r w:rsidRPr="00746EDE">
              <w:rPr>
                <w:b/>
                <w:bCs/>
                <w:color w:val="FFFFFF"/>
                <w:lang w:eastAsia="bg-BG"/>
              </w:rPr>
              <w:t>Compensation costs</w:t>
            </w:r>
          </w:p>
        </w:tc>
        <w:tc>
          <w:tcPr>
            <w:tcW w:w="1607" w:type="dxa"/>
            <w:vAlign w:val="center"/>
          </w:tcPr>
          <w:p w:rsidR="00746EDE" w:rsidRPr="00746EDE" w:rsidRDefault="00746EDE" w:rsidP="00746EDE">
            <w:pPr>
              <w:jc w:val="right"/>
              <w:rPr>
                <w:sz w:val="20"/>
                <w:szCs w:val="20"/>
              </w:rPr>
            </w:pPr>
            <w:r w:rsidRPr="00746EDE">
              <w:rPr>
                <w:sz w:val="20"/>
                <w:szCs w:val="20"/>
              </w:rPr>
              <w:t>8 248</w:t>
            </w:r>
          </w:p>
        </w:tc>
        <w:tc>
          <w:tcPr>
            <w:tcW w:w="1607" w:type="dxa"/>
            <w:vAlign w:val="center"/>
          </w:tcPr>
          <w:p w:rsidR="00746EDE" w:rsidRPr="00746EDE" w:rsidRDefault="00746EDE" w:rsidP="00746EDE">
            <w:pPr>
              <w:jc w:val="right"/>
              <w:rPr>
                <w:sz w:val="20"/>
                <w:szCs w:val="20"/>
              </w:rPr>
            </w:pPr>
            <w:r w:rsidRPr="00746EDE">
              <w:rPr>
                <w:sz w:val="20"/>
                <w:szCs w:val="20"/>
              </w:rPr>
              <w:t>10 757</w:t>
            </w:r>
          </w:p>
        </w:tc>
        <w:tc>
          <w:tcPr>
            <w:tcW w:w="1607" w:type="dxa"/>
            <w:vAlign w:val="center"/>
          </w:tcPr>
          <w:p w:rsidR="00746EDE" w:rsidRPr="00746EDE" w:rsidRDefault="00746EDE" w:rsidP="00746EDE">
            <w:pPr>
              <w:jc w:val="right"/>
              <w:rPr>
                <w:sz w:val="20"/>
                <w:szCs w:val="20"/>
              </w:rPr>
            </w:pPr>
            <w:r w:rsidRPr="00746EDE">
              <w:rPr>
                <w:sz w:val="20"/>
                <w:szCs w:val="20"/>
              </w:rPr>
              <w:t>30,4%</w:t>
            </w:r>
          </w:p>
        </w:tc>
      </w:tr>
      <w:tr w:rsidR="00746EDE" w:rsidRPr="00746EDE" w:rsidTr="00746EDE">
        <w:trPr>
          <w:trHeight w:val="300"/>
        </w:trPr>
        <w:tc>
          <w:tcPr>
            <w:tcW w:w="5103" w:type="dxa"/>
            <w:tcBorders>
              <w:left w:val="nil"/>
              <w:bottom w:val="nil"/>
              <w:right w:val="nil"/>
            </w:tcBorders>
            <w:shd w:val="clear" w:color="auto" w:fill="4F81BD"/>
            <w:vAlign w:val="center"/>
            <w:hideMark/>
          </w:tcPr>
          <w:p w:rsidR="00746EDE" w:rsidRPr="00746EDE" w:rsidRDefault="00746EDE" w:rsidP="00746EDE">
            <w:pPr>
              <w:rPr>
                <w:b/>
                <w:bCs/>
                <w:color w:val="FFFFFF"/>
                <w:lang w:eastAsia="bg-BG"/>
              </w:rPr>
            </w:pPr>
            <w:r w:rsidRPr="00746EDE">
              <w:rPr>
                <w:b/>
                <w:bCs/>
                <w:color w:val="FFFFFF"/>
                <w:lang w:eastAsia="bg-BG"/>
              </w:rPr>
              <w:t>Costs of external services</w:t>
            </w:r>
          </w:p>
        </w:tc>
        <w:tc>
          <w:tcPr>
            <w:tcW w:w="1607" w:type="dxa"/>
            <w:shd w:val="clear" w:color="auto" w:fill="D8D8D8"/>
            <w:vAlign w:val="center"/>
          </w:tcPr>
          <w:p w:rsidR="00746EDE" w:rsidRPr="00746EDE" w:rsidRDefault="00746EDE" w:rsidP="00746EDE">
            <w:pPr>
              <w:jc w:val="right"/>
              <w:rPr>
                <w:sz w:val="20"/>
                <w:szCs w:val="20"/>
              </w:rPr>
            </w:pPr>
            <w:r w:rsidRPr="00746EDE">
              <w:rPr>
                <w:sz w:val="20"/>
                <w:szCs w:val="20"/>
              </w:rPr>
              <w:t>15 858</w:t>
            </w:r>
          </w:p>
        </w:tc>
        <w:tc>
          <w:tcPr>
            <w:tcW w:w="1607" w:type="dxa"/>
            <w:shd w:val="clear" w:color="auto" w:fill="D8D8D8"/>
            <w:vAlign w:val="center"/>
          </w:tcPr>
          <w:p w:rsidR="00746EDE" w:rsidRPr="00746EDE" w:rsidRDefault="00746EDE" w:rsidP="00746EDE">
            <w:pPr>
              <w:jc w:val="right"/>
              <w:rPr>
                <w:sz w:val="20"/>
                <w:szCs w:val="20"/>
              </w:rPr>
            </w:pPr>
            <w:r w:rsidRPr="00746EDE">
              <w:rPr>
                <w:sz w:val="20"/>
                <w:szCs w:val="20"/>
              </w:rPr>
              <w:t>31 693</w:t>
            </w:r>
          </w:p>
        </w:tc>
        <w:tc>
          <w:tcPr>
            <w:tcW w:w="1607" w:type="dxa"/>
            <w:shd w:val="clear" w:color="auto" w:fill="D8D8D8"/>
            <w:vAlign w:val="center"/>
          </w:tcPr>
          <w:p w:rsidR="00746EDE" w:rsidRPr="00746EDE" w:rsidRDefault="00746EDE" w:rsidP="00746EDE">
            <w:pPr>
              <w:jc w:val="right"/>
              <w:rPr>
                <w:sz w:val="20"/>
                <w:szCs w:val="20"/>
              </w:rPr>
            </w:pPr>
            <w:r w:rsidRPr="00746EDE">
              <w:rPr>
                <w:sz w:val="20"/>
                <w:szCs w:val="20"/>
              </w:rPr>
              <w:t>99,9%</w:t>
            </w:r>
          </w:p>
        </w:tc>
      </w:tr>
      <w:tr w:rsidR="00746EDE" w:rsidRPr="00746EDE" w:rsidTr="00746EDE">
        <w:trPr>
          <w:trHeight w:val="300"/>
        </w:trPr>
        <w:tc>
          <w:tcPr>
            <w:tcW w:w="5103" w:type="dxa"/>
            <w:tcBorders>
              <w:left w:val="nil"/>
              <w:bottom w:val="nil"/>
              <w:right w:val="nil"/>
            </w:tcBorders>
            <w:shd w:val="clear" w:color="auto" w:fill="4F81BD"/>
            <w:vAlign w:val="center"/>
            <w:hideMark/>
          </w:tcPr>
          <w:p w:rsidR="00746EDE" w:rsidRPr="00746EDE" w:rsidRDefault="00746EDE" w:rsidP="00746EDE">
            <w:pPr>
              <w:ind w:right="-108"/>
              <w:rPr>
                <w:b/>
                <w:bCs/>
                <w:color w:val="FFFFFF"/>
                <w:lang w:eastAsia="bg-BG"/>
              </w:rPr>
            </w:pPr>
            <w:r w:rsidRPr="00746EDE">
              <w:rPr>
                <w:b/>
                <w:bCs/>
                <w:color w:val="FFFFFF"/>
                <w:lang w:eastAsia="bg-BG"/>
              </w:rPr>
              <w:t>Book value of assets sold</w:t>
            </w:r>
          </w:p>
        </w:tc>
        <w:tc>
          <w:tcPr>
            <w:tcW w:w="1607" w:type="dxa"/>
            <w:vAlign w:val="center"/>
          </w:tcPr>
          <w:p w:rsidR="00746EDE" w:rsidRPr="00746EDE" w:rsidRDefault="00746EDE" w:rsidP="00746EDE">
            <w:pPr>
              <w:jc w:val="right"/>
              <w:rPr>
                <w:sz w:val="20"/>
                <w:szCs w:val="20"/>
              </w:rPr>
            </w:pPr>
            <w:r w:rsidRPr="00746EDE">
              <w:rPr>
                <w:sz w:val="20"/>
                <w:szCs w:val="20"/>
              </w:rPr>
              <w:t>611</w:t>
            </w:r>
          </w:p>
        </w:tc>
        <w:tc>
          <w:tcPr>
            <w:tcW w:w="1607" w:type="dxa"/>
            <w:vAlign w:val="center"/>
          </w:tcPr>
          <w:p w:rsidR="00746EDE" w:rsidRPr="00746EDE" w:rsidRDefault="00746EDE" w:rsidP="00746EDE">
            <w:pPr>
              <w:jc w:val="right"/>
              <w:rPr>
                <w:sz w:val="20"/>
                <w:szCs w:val="20"/>
              </w:rPr>
            </w:pPr>
            <w:r w:rsidRPr="00746EDE">
              <w:rPr>
                <w:sz w:val="20"/>
                <w:szCs w:val="20"/>
              </w:rPr>
              <w:t>801</w:t>
            </w:r>
          </w:p>
        </w:tc>
        <w:tc>
          <w:tcPr>
            <w:tcW w:w="1607" w:type="dxa"/>
            <w:vAlign w:val="center"/>
          </w:tcPr>
          <w:p w:rsidR="00746EDE" w:rsidRPr="00746EDE" w:rsidRDefault="00746EDE" w:rsidP="00746EDE">
            <w:pPr>
              <w:jc w:val="right"/>
              <w:rPr>
                <w:sz w:val="20"/>
                <w:szCs w:val="20"/>
              </w:rPr>
            </w:pPr>
            <w:r w:rsidRPr="00746EDE">
              <w:rPr>
                <w:sz w:val="20"/>
                <w:szCs w:val="20"/>
              </w:rPr>
              <w:t>31,1%</w:t>
            </w:r>
          </w:p>
        </w:tc>
      </w:tr>
      <w:tr w:rsidR="00746EDE" w:rsidRPr="00746EDE" w:rsidTr="00746EDE">
        <w:trPr>
          <w:trHeight w:val="300"/>
        </w:trPr>
        <w:tc>
          <w:tcPr>
            <w:tcW w:w="5103" w:type="dxa"/>
            <w:tcBorders>
              <w:left w:val="nil"/>
              <w:bottom w:val="nil"/>
              <w:right w:val="nil"/>
            </w:tcBorders>
            <w:shd w:val="clear" w:color="auto" w:fill="4F81BD"/>
            <w:vAlign w:val="center"/>
          </w:tcPr>
          <w:p w:rsidR="00746EDE" w:rsidRPr="00746EDE" w:rsidRDefault="00746EDE" w:rsidP="00746EDE">
            <w:pPr>
              <w:rPr>
                <w:b/>
                <w:bCs/>
                <w:color w:val="FFFFFF"/>
                <w:lang w:eastAsia="bg-BG"/>
              </w:rPr>
            </w:pPr>
            <w:r w:rsidRPr="00746EDE">
              <w:rPr>
                <w:b/>
                <w:bCs/>
                <w:color w:val="FFFFFF"/>
                <w:lang w:eastAsia="bg-BG"/>
              </w:rPr>
              <w:t>Other operating costs</w:t>
            </w:r>
          </w:p>
        </w:tc>
        <w:tc>
          <w:tcPr>
            <w:tcW w:w="1607" w:type="dxa"/>
            <w:shd w:val="clear" w:color="auto" w:fill="D8D8D8"/>
            <w:vAlign w:val="center"/>
          </w:tcPr>
          <w:p w:rsidR="00746EDE" w:rsidRPr="00746EDE" w:rsidRDefault="00746EDE" w:rsidP="00746EDE">
            <w:pPr>
              <w:jc w:val="right"/>
              <w:rPr>
                <w:sz w:val="20"/>
                <w:szCs w:val="20"/>
              </w:rPr>
            </w:pPr>
            <w:r w:rsidRPr="00746EDE">
              <w:rPr>
                <w:sz w:val="20"/>
                <w:szCs w:val="20"/>
              </w:rPr>
              <w:t>436</w:t>
            </w:r>
          </w:p>
        </w:tc>
        <w:tc>
          <w:tcPr>
            <w:tcW w:w="1607" w:type="dxa"/>
            <w:shd w:val="clear" w:color="auto" w:fill="D8D8D8"/>
            <w:vAlign w:val="center"/>
          </w:tcPr>
          <w:p w:rsidR="00746EDE" w:rsidRPr="00746EDE" w:rsidRDefault="00746EDE" w:rsidP="00746EDE">
            <w:pPr>
              <w:jc w:val="right"/>
              <w:rPr>
                <w:sz w:val="20"/>
                <w:szCs w:val="20"/>
              </w:rPr>
            </w:pPr>
            <w:r w:rsidRPr="00746EDE">
              <w:rPr>
                <w:sz w:val="20"/>
                <w:szCs w:val="20"/>
              </w:rPr>
              <w:t>588</w:t>
            </w:r>
          </w:p>
        </w:tc>
        <w:tc>
          <w:tcPr>
            <w:tcW w:w="1607" w:type="dxa"/>
            <w:shd w:val="clear" w:color="auto" w:fill="D8D8D8"/>
            <w:vAlign w:val="center"/>
          </w:tcPr>
          <w:p w:rsidR="00746EDE" w:rsidRPr="00746EDE" w:rsidRDefault="00746EDE" w:rsidP="00746EDE">
            <w:pPr>
              <w:jc w:val="right"/>
              <w:rPr>
                <w:sz w:val="20"/>
                <w:szCs w:val="20"/>
              </w:rPr>
            </w:pPr>
            <w:r w:rsidRPr="00746EDE">
              <w:rPr>
                <w:sz w:val="20"/>
                <w:szCs w:val="20"/>
              </w:rPr>
              <w:t>34,9%</w:t>
            </w:r>
          </w:p>
        </w:tc>
      </w:tr>
      <w:tr w:rsidR="00746EDE" w:rsidRPr="00746EDE" w:rsidTr="00746EDE">
        <w:trPr>
          <w:trHeight w:val="315"/>
        </w:trPr>
        <w:tc>
          <w:tcPr>
            <w:tcW w:w="5103" w:type="dxa"/>
            <w:tcBorders>
              <w:left w:val="nil"/>
              <w:bottom w:val="nil"/>
              <w:right w:val="nil"/>
            </w:tcBorders>
            <w:shd w:val="clear" w:color="auto" w:fill="4F81BD"/>
            <w:vAlign w:val="center"/>
          </w:tcPr>
          <w:p w:rsidR="00746EDE" w:rsidRPr="00746EDE" w:rsidRDefault="00746EDE" w:rsidP="00746EDE">
            <w:pPr>
              <w:rPr>
                <w:b/>
                <w:bCs/>
                <w:color w:val="FFFFFF"/>
                <w:lang w:eastAsia="bg-BG"/>
              </w:rPr>
            </w:pPr>
            <w:r w:rsidRPr="00746EDE">
              <w:rPr>
                <w:b/>
                <w:bCs/>
                <w:color w:val="FFFFFF"/>
              </w:rPr>
              <w:t>Depreciation</w:t>
            </w:r>
          </w:p>
        </w:tc>
        <w:tc>
          <w:tcPr>
            <w:tcW w:w="1607" w:type="dxa"/>
            <w:vAlign w:val="center"/>
          </w:tcPr>
          <w:p w:rsidR="00746EDE" w:rsidRPr="00746EDE" w:rsidRDefault="00746EDE" w:rsidP="00746EDE">
            <w:pPr>
              <w:jc w:val="right"/>
              <w:rPr>
                <w:sz w:val="20"/>
                <w:szCs w:val="20"/>
              </w:rPr>
            </w:pPr>
            <w:r w:rsidRPr="00746EDE">
              <w:rPr>
                <w:sz w:val="20"/>
                <w:szCs w:val="20"/>
              </w:rPr>
              <w:t>2 272</w:t>
            </w:r>
          </w:p>
        </w:tc>
        <w:tc>
          <w:tcPr>
            <w:tcW w:w="1607" w:type="dxa"/>
            <w:vAlign w:val="center"/>
          </w:tcPr>
          <w:p w:rsidR="00746EDE" w:rsidRPr="00746EDE" w:rsidRDefault="00746EDE" w:rsidP="00746EDE">
            <w:pPr>
              <w:jc w:val="right"/>
              <w:rPr>
                <w:sz w:val="20"/>
                <w:szCs w:val="20"/>
              </w:rPr>
            </w:pPr>
            <w:r w:rsidRPr="00746EDE">
              <w:rPr>
                <w:sz w:val="20"/>
                <w:szCs w:val="20"/>
              </w:rPr>
              <w:t>4 229</w:t>
            </w:r>
          </w:p>
        </w:tc>
        <w:tc>
          <w:tcPr>
            <w:tcW w:w="1607" w:type="dxa"/>
            <w:vAlign w:val="center"/>
          </w:tcPr>
          <w:p w:rsidR="00746EDE" w:rsidRPr="00746EDE" w:rsidRDefault="00746EDE" w:rsidP="00746EDE">
            <w:pPr>
              <w:jc w:val="right"/>
              <w:rPr>
                <w:sz w:val="20"/>
                <w:szCs w:val="20"/>
              </w:rPr>
            </w:pPr>
            <w:r w:rsidRPr="00746EDE">
              <w:rPr>
                <w:sz w:val="20"/>
                <w:szCs w:val="20"/>
              </w:rPr>
              <w:t>86,1%</w:t>
            </w:r>
          </w:p>
        </w:tc>
      </w:tr>
      <w:tr w:rsidR="00746EDE" w:rsidRPr="00746EDE" w:rsidTr="00746EDE">
        <w:trPr>
          <w:trHeight w:val="315"/>
        </w:trPr>
        <w:tc>
          <w:tcPr>
            <w:tcW w:w="5103" w:type="dxa"/>
            <w:tcBorders>
              <w:top w:val="double" w:sz="6" w:space="0" w:color="auto"/>
              <w:left w:val="nil"/>
              <w:bottom w:val="single" w:sz="18" w:space="0" w:color="auto"/>
              <w:right w:val="nil"/>
            </w:tcBorders>
            <w:shd w:val="clear" w:color="auto" w:fill="FFFFFF"/>
            <w:vAlign w:val="center"/>
            <w:hideMark/>
          </w:tcPr>
          <w:p w:rsidR="00746EDE" w:rsidRPr="00746EDE" w:rsidRDefault="00746EDE" w:rsidP="00746EDE">
            <w:pPr>
              <w:rPr>
                <w:b/>
                <w:bCs/>
                <w:color w:val="000000"/>
                <w:lang w:eastAsia="bg-BG"/>
              </w:rPr>
            </w:pPr>
            <w:r w:rsidRPr="00746EDE">
              <w:rPr>
                <w:b/>
                <w:bCs/>
                <w:color w:val="000000"/>
                <w:lang w:eastAsia="bg-BG"/>
              </w:rPr>
              <w:t>EBITDA</w:t>
            </w:r>
          </w:p>
        </w:tc>
        <w:tc>
          <w:tcPr>
            <w:tcW w:w="1607" w:type="dxa"/>
            <w:tcBorders>
              <w:top w:val="double" w:sz="6" w:space="0" w:color="auto"/>
              <w:left w:val="nil"/>
              <w:bottom w:val="single" w:sz="18" w:space="0" w:color="auto"/>
              <w:right w:val="nil"/>
            </w:tcBorders>
            <w:shd w:val="clear" w:color="auto" w:fill="FFFFFF"/>
            <w:vAlign w:val="center"/>
          </w:tcPr>
          <w:p w:rsidR="00746EDE" w:rsidRPr="00746EDE" w:rsidRDefault="00746EDE" w:rsidP="00746EDE">
            <w:pPr>
              <w:jc w:val="right"/>
              <w:rPr>
                <w:b/>
                <w:bCs/>
                <w:sz w:val="20"/>
                <w:szCs w:val="20"/>
              </w:rPr>
            </w:pPr>
            <w:r w:rsidRPr="00746EDE">
              <w:rPr>
                <w:b/>
                <w:bCs/>
                <w:sz w:val="20"/>
                <w:szCs w:val="20"/>
              </w:rPr>
              <w:t>6 886</w:t>
            </w:r>
          </w:p>
        </w:tc>
        <w:tc>
          <w:tcPr>
            <w:tcW w:w="1607" w:type="dxa"/>
            <w:tcBorders>
              <w:top w:val="double" w:sz="6" w:space="0" w:color="auto"/>
              <w:left w:val="nil"/>
              <w:bottom w:val="single" w:sz="18" w:space="0" w:color="auto"/>
              <w:right w:val="nil"/>
            </w:tcBorders>
            <w:shd w:val="clear" w:color="auto" w:fill="FFFFFF"/>
            <w:vAlign w:val="center"/>
          </w:tcPr>
          <w:p w:rsidR="00746EDE" w:rsidRPr="00746EDE" w:rsidRDefault="00746EDE" w:rsidP="00746EDE">
            <w:pPr>
              <w:jc w:val="right"/>
              <w:rPr>
                <w:b/>
                <w:bCs/>
                <w:sz w:val="20"/>
                <w:szCs w:val="20"/>
              </w:rPr>
            </w:pPr>
            <w:r w:rsidRPr="00746EDE">
              <w:rPr>
                <w:b/>
                <w:bCs/>
                <w:sz w:val="20"/>
                <w:szCs w:val="20"/>
              </w:rPr>
              <w:t>10 266</w:t>
            </w:r>
          </w:p>
        </w:tc>
        <w:tc>
          <w:tcPr>
            <w:tcW w:w="1607" w:type="dxa"/>
            <w:tcBorders>
              <w:top w:val="double" w:sz="6" w:space="0" w:color="auto"/>
              <w:left w:val="nil"/>
              <w:bottom w:val="single" w:sz="18" w:space="0" w:color="auto"/>
              <w:right w:val="nil"/>
            </w:tcBorders>
            <w:shd w:val="clear" w:color="auto" w:fill="FFFFFF"/>
            <w:vAlign w:val="center"/>
          </w:tcPr>
          <w:p w:rsidR="00746EDE" w:rsidRPr="00746EDE" w:rsidRDefault="00746EDE" w:rsidP="00746EDE">
            <w:pPr>
              <w:jc w:val="right"/>
              <w:rPr>
                <w:b/>
                <w:bCs/>
                <w:sz w:val="20"/>
                <w:szCs w:val="20"/>
              </w:rPr>
            </w:pPr>
            <w:r w:rsidRPr="00746EDE">
              <w:rPr>
                <w:b/>
                <w:bCs/>
                <w:sz w:val="20"/>
                <w:szCs w:val="20"/>
              </w:rPr>
              <w:t>49,1%</w:t>
            </w:r>
          </w:p>
        </w:tc>
      </w:tr>
      <w:tr w:rsidR="00746EDE" w:rsidRPr="00746EDE" w:rsidTr="00746EDE">
        <w:trPr>
          <w:trHeight w:val="315"/>
        </w:trPr>
        <w:tc>
          <w:tcPr>
            <w:tcW w:w="5103" w:type="dxa"/>
            <w:tcBorders>
              <w:top w:val="double" w:sz="6" w:space="0" w:color="auto"/>
              <w:left w:val="nil"/>
              <w:bottom w:val="single" w:sz="18" w:space="0" w:color="auto"/>
              <w:right w:val="nil"/>
            </w:tcBorders>
            <w:shd w:val="clear" w:color="auto" w:fill="FFFFFF"/>
            <w:vAlign w:val="center"/>
            <w:hideMark/>
          </w:tcPr>
          <w:p w:rsidR="00746EDE" w:rsidRPr="00746EDE" w:rsidRDefault="00746EDE" w:rsidP="00746EDE">
            <w:pPr>
              <w:rPr>
                <w:b/>
                <w:bCs/>
                <w:color w:val="000000"/>
                <w:lang w:eastAsia="bg-BG"/>
              </w:rPr>
            </w:pPr>
            <w:r w:rsidRPr="00746EDE">
              <w:rPr>
                <w:b/>
                <w:bCs/>
                <w:color w:val="000000"/>
                <w:lang w:eastAsia="bg-BG"/>
              </w:rPr>
              <w:t>Net profit for the period</w:t>
            </w:r>
          </w:p>
        </w:tc>
        <w:tc>
          <w:tcPr>
            <w:tcW w:w="1607" w:type="dxa"/>
            <w:tcBorders>
              <w:top w:val="double" w:sz="6" w:space="0" w:color="auto"/>
              <w:left w:val="nil"/>
              <w:bottom w:val="single" w:sz="18" w:space="0" w:color="auto"/>
              <w:right w:val="nil"/>
            </w:tcBorders>
            <w:shd w:val="clear" w:color="auto" w:fill="FFFFFF"/>
            <w:vAlign w:val="center"/>
          </w:tcPr>
          <w:p w:rsidR="00746EDE" w:rsidRPr="00746EDE" w:rsidRDefault="00746EDE" w:rsidP="00746EDE">
            <w:pPr>
              <w:jc w:val="right"/>
              <w:rPr>
                <w:b/>
                <w:bCs/>
                <w:sz w:val="20"/>
                <w:szCs w:val="20"/>
              </w:rPr>
            </w:pPr>
            <w:r w:rsidRPr="00746EDE">
              <w:rPr>
                <w:b/>
                <w:bCs/>
                <w:sz w:val="20"/>
                <w:szCs w:val="20"/>
              </w:rPr>
              <w:t>4 003</w:t>
            </w:r>
          </w:p>
        </w:tc>
        <w:tc>
          <w:tcPr>
            <w:tcW w:w="1607" w:type="dxa"/>
            <w:tcBorders>
              <w:top w:val="double" w:sz="6" w:space="0" w:color="auto"/>
              <w:left w:val="nil"/>
              <w:bottom w:val="single" w:sz="18" w:space="0" w:color="auto"/>
              <w:right w:val="nil"/>
            </w:tcBorders>
            <w:shd w:val="clear" w:color="auto" w:fill="FFFFFF"/>
            <w:vAlign w:val="center"/>
          </w:tcPr>
          <w:p w:rsidR="00746EDE" w:rsidRPr="00746EDE" w:rsidRDefault="00746EDE" w:rsidP="00746EDE">
            <w:pPr>
              <w:jc w:val="right"/>
              <w:rPr>
                <w:b/>
                <w:bCs/>
                <w:sz w:val="20"/>
                <w:szCs w:val="20"/>
              </w:rPr>
            </w:pPr>
            <w:r w:rsidRPr="00746EDE">
              <w:rPr>
                <w:b/>
                <w:bCs/>
                <w:sz w:val="20"/>
                <w:szCs w:val="20"/>
              </w:rPr>
              <w:t>4 861</w:t>
            </w:r>
          </w:p>
        </w:tc>
        <w:tc>
          <w:tcPr>
            <w:tcW w:w="1607" w:type="dxa"/>
            <w:tcBorders>
              <w:top w:val="double" w:sz="6" w:space="0" w:color="auto"/>
              <w:left w:val="nil"/>
              <w:bottom w:val="single" w:sz="18" w:space="0" w:color="auto"/>
              <w:right w:val="nil"/>
            </w:tcBorders>
            <w:shd w:val="clear" w:color="auto" w:fill="FFFFFF"/>
            <w:vAlign w:val="center"/>
          </w:tcPr>
          <w:p w:rsidR="00746EDE" w:rsidRPr="00746EDE" w:rsidRDefault="00746EDE" w:rsidP="00746EDE">
            <w:pPr>
              <w:jc w:val="right"/>
              <w:rPr>
                <w:b/>
                <w:bCs/>
                <w:sz w:val="20"/>
                <w:szCs w:val="20"/>
              </w:rPr>
            </w:pPr>
            <w:r w:rsidRPr="00746EDE">
              <w:rPr>
                <w:b/>
                <w:bCs/>
                <w:sz w:val="20"/>
                <w:szCs w:val="20"/>
              </w:rPr>
              <w:t>21,4%</w:t>
            </w:r>
          </w:p>
        </w:tc>
      </w:tr>
    </w:tbl>
    <w:p w:rsidR="007F5DAE" w:rsidRDefault="007F5DAE" w:rsidP="00996F8B">
      <w:pPr>
        <w:pStyle w:val="BodyText"/>
        <w:spacing w:after="120"/>
        <w:ind w:right="-180"/>
        <w:rPr>
          <w:lang w:val="en-GB"/>
        </w:rPr>
      </w:pPr>
    </w:p>
    <w:p w:rsidR="00746EDE" w:rsidRDefault="00746EDE" w:rsidP="00996F8B">
      <w:pPr>
        <w:pStyle w:val="BodyText"/>
        <w:spacing w:after="120"/>
        <w:ind w:right="-180"/>
        <w:rPr>
          <w:lang w:val="en-GB"/>
        </w:rPr>
      </w:pPr>
      <w:r>
        <w:rPr>
          <w:lang w:val="en-GB"/>
        </w:rPr>
        <w:t xml:space="preserve">The restructuring of operations and the consolidation of acquired companies in the end of 2014 lead to considerable change in the expenses. </w:t>
      </w:r>
      <w:r w:rsidR="00671AA4">
        <w:rPr>
          <w:lang w:val="en-GB"/>
        </w:rPr>
        <w:t xml:space="preserve">Along with increase of hired services, using subcontractors resulted in lower expenses for fuel and car maintenance even after adding DPD Romania costs. Other things equal, savings </w:t>
      </w:r>
      <w:proofErr w:type="gramStart"/>
      <w:r w:rsidR="00671AA4">
        <w:rPr>
          <w:lang w:val="en-GB"/>
        </w:rPr>
        <w:t>are achieved</w:t>
      </w:r>
      <w:proofErr w:type="gramEnd"/>
      <w:r w:rsidR="00671AA4">
        <w:rPr>
          <w:lang w:val="en-GB"/>
        </w:rPr>
        <w:t xml:space="preserve"> in compensation costs as well but </w:t>
      </w:r>
      <w:r w:rsidR="003557F8">
        <w:rPr>
          <w:lang w:val="en-GB"/>
        </w:rPr>
        <w:t>because of consolidation, there is an increase in absolute terms.</w:t>
      </w:r>
    </w:p>
    <w:p w:rsidR="003557F8" w:rsidRDefault="003557F8" w:rsidP="00996F8B">
      <w:pPr>
        <w:pStyle w:val="BodyText"/>
        <w:spacing w:after="120"/>
        <w:ind w:right="-180"/>
        <w:rPr>
          <w:lang w:val="en-GB"/>
        </w:rPr>
      </w:pPr>
      <w:r>
        <w:rPr>
          <w:lang w:val="en-GB"/>
        </w:rPr>
        <w:t xml:space="preserve">Operating profit </w:t>
      </w:r>
      <w:r w:rsidR="00FE6592">
        <w:rPr>
          <w:lang w:val="en-GB"/>
        </w:rPr>
        <w:t>edged up by 49</w:t>
      </w:r>
      <w:proofErr w:type="gramStart"/>
      <w:r w:rsidR="00FE6592">
        <w:rPr>
          <w:lang w:val="en-GB"/>
        </w:rPr>
        <w:t>,1</w:t>
      </w:r>
      <w:proofErr w:type="gramEnd"/>
      <w:r w:rsidR="00FE6592">
        <w:rPr>
          <w:lang w:val="en-GB"/>
        </w:rPr>
        <w:t>% or EBITDA Margin of 17,85%. On the bott</w:t>
      </w:r>
      <w:r w:rsidR="001841BC">
        <w:rPr>
          <w:lang w:val="en-GB"/>
        </w:rPr>
        <w:t xml:space="preserve">om </w:t>
      </w:r>
      <w:proofErr w:type="gramStart"/>
      <w:r w:rsidR="001841BC">
        <w:rPr>
          <w:lang w:val="en-GB"/>
        </w:rPr>
        <w:t>line</w:t>
      </w:r>
      <w:proofErr w:type="gramEnd"/>
      <w:r w:rsidR="001841BC">
        <w:rPr>
          <w:lang w:val="en-GB"/>
        </w:rPr>
        <w:t xml:space="preserve"> the improvement is thinner due to 86% higher depreciation, following intensive investments in Speedy Jsc as well as in DPD Romania during 2014 and beginning of 2015. DPD Romania’s profitability were considerably lower </w:t>
      </w:r>
      <w:r w:rsidR="001841BC">
        <w:rPr>
          <w:lang w:val="en-GB"/>
        </w:rPr>
        <w:lastRenderedPageBreak/>
        <w:t xml:space="preserve">at the tima of acquisition and active expansion and investments additionally suppress the financial results. Expectations are the targeted </w:t>
      </w:r>
      <w:r w:rsidR="006D005E">
        <w:rPr>
          <w:lang w:val="en-GB"/>
        </w:rPr>
        <w:t>growth of business and improvement of efficiency to foster the profitability in future.</w:t>
      </w:r>
    </w:p>
    <w:p w:rsidR="00EC72B6" w:rsidRPr="00746EDE" w:rsidRDefault="00EC72B6" w:rsidP="00996F8B">
      <w:pPr>
        <w:pStyle w:val="BodyText"/>
        <w:spacing w:after="120"/>
        <w:ind w:right="-180"/>
        <w:rPr>
          <w:lang w:val="en-GB"/>
        </w:rPr>
      </w:pPr>
      <w:r>
        <w:rPr>
          <w:lang w:val="en-GB"/>
        </w:rPr>
        <w:t>During the reportin period, the acquired fixed assets total BGN 5</w:t>
      </w:r>
      <w:proofErr w:type="gramStart"/>
      <w:r>
        <w:rPr>
          <w:lang w:val="en-GB"/>
        </w:rPr>
        <w:t>,6</w:t>
      </w:r>
      <w:proofErr w:type="gramEnd"/>
      <w:r>
        <w:rPr>
          <w:lang w:val="en-GB"/>
        </w:rPr>
        <w:t xml:space="preserve">. The largest investment in amount of BGN 2,66m for development of new management software and related consultancy services. The investment </w:t>
      </w:r>
      <w:proofErr w:type="gramStart"/>
      <w:r>
        <w:rPr>
          <w:lang w:val="en-GB"/>
        </w:rPr>
        <w:t>is partially funded</w:t>
      </w:r>
      <w:proofErr w:type="gramEnd"/>
      <w:r>
        <w:rPr>
          <w:lang w:val="en-GB"/>
        </w:rPr>
        <w:t xml:space="preserve"> under OP “Competitiveness” and is to replace the existing software for operating management. Beside considerable improvement of existing capabilities, the new system is also a flexible </w:t>
      </w:r>
      <w:proofErr w:type="gramStart"/>
      <w:r>
        <w:rPr>
          <w:lang w:val="en-GB"/>
        </w:rPr>
        <w:t>platform</w:t>
      </w:r>
      <w:r w:rsidR="00FB76C3">
        <w:rPr>
          <w:lang w:val="en-GB"/>
        </w:rPr>
        <w:t xml:space="preserve"> which</w:t>
      </w:r>
      <w:proofErr w:type="gramEnd"/>
      <w:r w:rsidR="00FB76C3">
        <w:rPr>
          <w:lang w:val="en-GB"/>
        </w:rPr>
        <w:t xml:space="preserve"> allows addition and expansion of new modules and functions. By developing the software, Speedy Jsc completed the whole project under OP </w:t>
      </w:r>
      <w:r w:rsidR="00FB76C3" w:rsidRPr="00FB76C3">
        <w:rPr>
          <w:lang w:val="en-GB"/>
        </w:rPr>
        <w:t>“Competitiveness”</w:t>
      </w:r>
      <w:r w:rsidR="001E67BF">
        <w:rPr>
          <w:lang w:val="en-GB"/>
        </w:rPr>
        <w:t xml:space="preserve"> in amount of BGN 4m, 50% of which are grant from the EU program. Beside the software, the financing </w:t>
      </w:r>
      <w:proofErr w:type="gramStart"/>
      <w:r w:rsidR="001E67BF">
        <w:rPr>
          <w:lang w:val="en-GB"/>
        </w:rPr>
        <w:t>were used</w:t>
      </w:r>
      <w:proofErr w:type="gramEnd"/>
      <w:r w:rsidR="001E67BF">
        <w:rPr>
          <w:lang w:val="en-GB"/>
        </w:rPr>
        <w:t xml:space="preserve"> for acquiring hardware and technical equipment. The rest of the investment for the period are for vehicles (BGN 1,34m), repair of rented premises, technical and other equipment.</w:t>
      </w:r>
    </w:p>
    <w:p w:rsidR="00E874FF" w:rsidRPr="00746EDE" w:rsidRDefault="00E874FF" w:rsidP="006B26F0">
      <w:pPr>
        <w:pStyle w:val="BodyText"/>
        <w:spacing w:after="120"/>
        <w:ind w:right="-180"/>
        <w:rPr>
          <w:i/>
          <w:u w:val="single"/>
          <w:lang w:val="en-GB"/>
        </w:rPr>
      </w:pPr>
    </w:p>
    <w:p w:rsidR="006B26F0" w:rsidRPr="00746EDE" w:rsidRDefault="006B26F0" w:rsidP="006B26F0">
      <w:pPr>
        <w:pStyle w:val="BodyText"/>
        <w:spacing w:after="120"/>
        <w:ind w:right="-180"/>
        <w:rPr>
          <w:i/>
          <w:u w:val="single"/>
          <w:lang w:val="en-GB"/>
        </w:rPr>
      </w:pPr>
      <w:r w:rsidRPr="00746EDE">
        <w:rPr>
          <w:i/>
          <w:u w:val="single"/>
          <w:lang w:val="en-GB"/>
        </w:rPr>
        <w:t xml:space="preserve">1.3 </w:t>
      </w:r>
      <w:r w:rsidR="001E67BF">
        <w:rPr>
          <w:i/>
          <w:u w:val="single"/>
          <w:lang w:val="en-GB"/>
        </w:rPr>
        <w:t>Important events after the reporting date</w:t>
      </w:r>
      <w:proofErr w:type="gramStart"/>
      <w:r w:rsidR="001E67BF">
        <w:rPr>
          <w:i/>
          <w:u w:val="single"/>
          <w:lang w:val="en-GB"/>
        </w:rPr>
        <w:t>.</w:t>
      </w:r>
      <w:r w:rsidRPr="00746EDE">
        <w:rPr>
          <w:i/>
          <w:u w:val="single"/>
          <w:lang w:val="en-GB"/>
        </w:rPr>
        <w:t>.</w:t>
      </w:r>
      <w:proofErr w:type="gramEnd"/>
    </w:p>
    <w:p w:rsidR="00586555" w:rsidRPr="00746EDE" w:rsidRDefault="001E67BF" w:rsidP="00FC40DB">
      <w:pPr>
        <w:pStyle w:val="BodyText"/>
        <w:spacing w:after="120"/>
        <w:ind w:right="-180"/>
        <w:rPr>
          <w:lang w:val="en-GB"/>
        </w:rPr>
      </w:pPr>
      <w:r>
        <w:rPr>
          <w:lang w:val="en-GB"/>
        </w:rPr>
        <w:t>No such events.</w:t>
      </w:r>
    </w:p>
    <w:p w:rsidR="007D1593" w:rsidRPr="00746EDE" w:rsidRDefault="007D1593" w:rsidP="00FC40DB">
      <w:pPr>
        <w:pStyle w:val="BodyText"/>
        <w:spacing w:after="120"/>
        <w:ind w:right="-180"/>
        <w:rPr>
          <w:lang w:val="en-GB"/>
        </w:rPr>
      </w:pPr>
    </w:p>
    <w:p w:rsidR="004409D2" w:rsidRPr="00746EDE" w:rsidRDefault="00B50362" w:rsidP="00FC40DB">
      <w:pPr>
        <w:pStyle w:val="BodyText"/>
        <w:spacing w:after="120"/>
        <w:ind w:right="-180"/>
        <w:rPr>
          <w:i/>
          <w:u w:val="single"/>
          <w:lang w:val="en-GB"/>
        </w:rPr>
      </w:pPr>
      <w:r w:rsidRPr="00746EDE">
        <w:rPr>
          <w:i/>
          <w:u w:val="single"/>
          <w:lang w:val="en-GB"/>
        </w:rPr>
        <w:t>1.4</w:t>
      </w:r>
      <w:r w:rsidR="004409D2" w:rsidRPr="00746EDE">
        <w:rPr>
          <w:i/>
          <w:u w:val="single"/>
          <w:lang w:val="en-GB"/>
        </w:rPr>
        <w:t xml:space="preserve"> </w:t>
      </w:r>
      <w:r w:rsidR="001E67BF">
        <w:rPr>
          <w:i/>
          <w:u w:val="single"/>
          <w:lang w:val="en-GB"/>
        </w:rPr>
        <w:t>Future developments</w:t>
      </w:r>
      <w:r w:rsidR="004409D2" w:rsidRPr="00746EDE">
        <w:rPr>
          <w:i/>
          <w:u w:val="single"/>
          <w:lang w:val="en-GB"/>
        </w:rPr>
        <w:t>.</w:t>
      </w:r>
    </w:p>
    <w:p w:rsidR="00327D09" w:rsidRDefault="00327D09" w:rsidP="00FC40DB">
      <w:pPr>
        <w:pStyle w:val="BodyText"/>
        <w:spacing w:after="120"/>
        <w:ind w:right="-180"/>
        <w:rPr>
          <w:lang w:val="en-GB"/>
        </w:rPr>
      </w:pPr>
      <w:r>
        <w:rPr>
          <w:lang w:val="en-GB"/>
        </w:rPr>
        <w:t xml:space="preserve">The SPS office network is largely completed and future efforts </w:t>
      </w:r>
      <w:r w:rsidR="00D1149F">
        <w:rPr>
          <w:lang w:val="en-GB"/>
        </w:rPr>
        <w:t>are</w:t>
      </w:r>
      <w:r>
        <w:rPr>
          <w:lang w:val="en-GB"/>
        </w:rPr>
        <w:t xml:space="preserve"> to </w:t>
      </w:r>
      <w:r w:rsidR="00D1149F">
        <w:rPr>
          <w:lang w:val="en-GB"/>
        </w:rPr>
        <w:t xml:space="preserve">aim </w:t>
      </w:r>
      <w:r>
        <w:rPr>
          <w:lang w:val="en-GB"/>
        </w:rPr>
        <w:t>its optimization.</w:t>
      </w:r>
    </w:p>
    <w:p w:rsidR="00D1149F" w:rsidRDefault="0021502F" w:rsidP="00FC40DB">
      <w:pPr>
        <w:pStyle w:val="BodyText"/>
        <w:spacing w:after="120"/>
        <w:ind w:right="-180"/>
        <w:rPr>
          <w:lang w:val="en-GB"/>
        </w:rPr>
      </w:pPr>
      <w:r>
        <w:rPr>
          <w:lang w:val="en-GB"/>
        </w:rPr>
        <w:t xml:space="preserve">Focus continue to be the development of the </w:t>
      </w:r>
      <w:r w:rsidRPr="00746EDE">
        <w:rPr>
          <w:lang w:val="en-GB"/>
        </w:rPr>
        <w:t>„PalletOne</w:t>
      </w:r>
      <w:proofErr w:type="gramStart"/>
      <w:r w:rsidRPr="00746EDE">
        <w:rPr>
          <w:lang w:val="en-GB"/>
        </w:rPr>
        <w:t>“</w:t>
      </w:r>
      <w:r>
        <w:rPr>
          <w:lang w:val="en-GB"/>
        </w:rPr>
        <w:t xml:space="preserve"> and</w:t>
      </w:r>
      <w:proofErr w:type="gramEnd"/>
      <w:r>
        <w:rPr>
          <w:lang w:val="en-GB"/>
        </w:rPr>
        <w:t xml:space="preserve"> investments in building and expansion of the infrastructure that service it.</w:t>
      </w:r>
    </w:p>
    <w:p w:rsidR="0021502F" w:rsidRDefault="0021502F" w:rsidP="00FC40DB">
      <w:pPr>
        <w:pStyle w:val="BodyText"/>
        <w:spacing w:after="120"/>
        <w:ind w:right="-180"/>
        <w:rPr>
          <w:lang w:val="en-GB"/>
        </w:rPr>
      </w:pPr>
      <w:r>
        <w:rPr>
          <w:lang w:val="en-GB"/>
        </w:rPr>
        <w:t xml:space="preserve">The size of the investments in current operations are to reduce since the auto fleet </w:t>
      </w:r>
      <w:proofErr w:type="gramStart"/>
      <w:r>
        <w:rPr>
          <w:lang w:val="en-GB"/>
        </w:rPr>
        <w:t>is largely modernized</w:t>
      </w:r>
      <w:proofErr w:type="gramEnd"/>
      <w:r>
        <w:rPr>
          <w:lang w:val="en-GB"/>
        </w:rPr>
        <w:t>.</w:t>
      </w:r>
    </w:p>
    <w:p w:rsidR="0021502F" w:rsidRDefault="0021502F" w:rsidP="00FC40DB">
      <w:pPr>
        <w:pStyle w:val="BodyText"/>
        <w:spacing w:after="120"/>
        <w:ind w:right="-180"/>
        <w:rPr>
          <w:lang w:val="en-GB"/>
        </w:rPr>
      </w:pPr>
      <w:r>
        <w:rPr>
          <w:lang w:val="en-GB"/>
        </w:rPr>
        <w:t xml:space="preserve">In </w:t>
      </w:r>
      <w:proofErr w:type="gramStart"/>
      <w:r>
        <w:rPr>
          <w:lang w:val="en-GB"/>
        </w:rPr>
        <w:t>Romania</w:t>
      </w:r>
      <w:proofErr w:type="gramEnd"/>
      <w:r>
        <w:rPr>
          <w:lang w:val="en-GB"/>
        </w:rPr>
        <w:t xml:space="preserve"> the plans are to widen the office network and the services offered. The planned investments are between BGN 3m and 5m, mainly for increasing the capacity of logistic centres and transportation vehicles.</w:t>
      </w:r>
    </w:p>
    <w:p w:rsidR="00FC40DB" w:rsidRPr="00746EDE" w:rsidRDefault="00FC40DB" w:rsidP="00705BAA">
      <w:pPr>
        <w:pStyle w:val="BodyText"/>
        <w:spacing w:line="288" w:lineRule="auto"/>
        <w:rPr>
          <w:b/>
          <w:lang w:val="en-GB"/>
        </w:rPr>
      </w:pPr>
    </w:p>
    <w:p w:rsidR="002726C6" w:rsidRPr="00746EDE" w:rsidRDefault="002726C6" w:rsidP="002726C6">
      <w:pPr>
        <w:pStyle w:val="BodyText"/>
        <w:spacing w:line="288" w:lineRule="auto"/>
        <w:rPr>
          <w:b/>
          <w:lang w:val="en-GB"/>
        </w:rPr>
      </w:pPr>
      <w:r w:rsidRPr="00746EDE">
        <w:rPr>
          <w:b/>
          <w:lang w:val="en-GB"/>
        </w:rPr>
        <w:t xml:space="preserve">2. </w:t>
      </w:r>
      <w:r w:rsidR="0021502F">
        <w:rPr>
          <w:b/>
          <w:lang w:val="en-GB"/>
        </w:rPr>
        <w:t>Corporate events</w:t>
      </w:r>
    </w:p>
    <w:p w:rsidR="00B40378" w:rsidRDefault="0002028D" w:rsidP="00BE13E6">
      <w:pPr>
        <w:pStyle w:val="BodyText"/>
        <w:spacing w:after="120"/>
        <w:ind w:right="-180"/>
        <w:rPr>
          <w:lang w:val="en-GB"/>
        </w:rPr>
      </w:pPr>
      <w:r w:rsidRPr="0002028D">
        <w:rPr>
          <w:b/>
          <w:lang w:val="en-GB"/>
        </w:rPr>
        <w:t>On 10</w:t>
      </w:r>
      <w:r w:rsidR="00B87514">
        <w:rPr>
          <w:b/>
          <w:lang w:val="en-GB"/>
        </w:rPr>
        <w:t>th</w:t>
      </w:r>
      <w:r w:rsidRPr="0002028D">
        <w:rPr>
          <w:b/>
          <w:lang w:val="en-GB"/>
        </w:rPr>
        <w:t xml:space="preserve"> February 2015</w:t>
      </w:r>
      <w:r w:rsidRPr="0002028D">
        <w:rPr>
          <w:lang w:val="en-GB"/>
        </w:rPr>
        <w:t xml:space="preserve">, </w:t>
      </w:r>
      <w:r>
        <w:rPr>
          <w:lang w:val="en-GB"/>
        </w:rPr>
        <w:t>were held a</w:t>
      </w:r>
      <w:r w:rsidRPr="0002028D">
        <w:rPr>
          <w:lang w:val="en-GB"/>
        </w:rPr>
        <w:t xml:space="preserve"> General Meeting of the Shareholders of “Speedy“ AD, where</w:t>
      </w:r>
      <w:r>
        <w:rPr>
          <w:lang w:val="en-GB"/>
        </w:rPr>
        <w:t xml:space="preserve"> </w:t>
      </w:r>
      <w:r w:rsidRPr="0002028D">
        <w:rPr>
          <w:lang w:val="en-GB"/>
        </w:rPr>
        <w:t xml:space="preserve">were adopted changes in the article of association, </w:t>
      </w:r>
      <w:r>
        <w:rPr>
          <w:lang w:val="en-GB"/>
        </w:rPr>
        <w:t xml:space="preserve">changes </w:t>
      </w:r>
      <w:r w:rsidRPr="0002028D">
        <w:rPr>
          <w:lang w:val="en-GB"/>
        </w:rPr>
        <w:t>in the number and the members of the Board of Directors and election of new auditor of the company — BDO Buldaria. The new member of the Board of Directors is Cedric Favre-Lerraine (Financial Director of Geopost France) as the representative of the French investor.</w:t>
      </w:r>
    </w:p>
    <w:p w:rsidR="00B87514" w:rsidRPr="00746EDE" w:rsidRDefault="00B87514" w:rsidP="00BE13E6">
      <w:pPr>
        <w:pStyle w:val="BodyText"/>
        <w:spacing w:after="120"/>
        <w:ind w:right="-180"/>
        <w:rPr>
          <w:lang w:val="en-GB"/>
        </w:rPr>
      </w:pPr>
      <w:r>
        <w:rPr>
          <w:lang w:val="en-GB"/>
        </w:rPr>
        <w:t>On 2</w:t>
      </w:r>
      <w:r w:rsidRPr="00B87514">
        <w:rPr>
          <w:vertAlign w:val="superscript"/>
          <w:lang w:val="en-GB"/>
        </w:rPr>
        <w:t>nd</w:t>
      </w:r>
      <w:r>
        <w:rPr>
          <w:lang w:val="en-GB"/>
        </w:rPr>
        <w:t xml:space="preserve"> June 2015 were</w:t>
      </w:r>
      <w:r w:rsidRPr="00B87514">
        <w:t xml:space="preserve"> </w:t>
      </w:r>
      <w:r w:rsidRPr="00B87514">
        <w:rPr>
          <w:lang w:val="en-GB"/>
        </w:rPr>
        <w:t xml:space="preserve">held a </w:t>
      </w:r>
      <w:r>
        <w:rPr>
          <w:lang w:val="en-GB"/>
        </w:rPr>
        <w:t xml:space="preserve">regular </w:t>
      </w:r>
      <w:r w:rsidRPr="00B87514">
        <w:rPr>
          <w:lang w:val="en-GB"/>
        </w:rPr>
        <w:t>General Meeting of the Shareholders of “Speedy“ AD</w:t>
      </w:r>
      <w:r>
        <w:rPr>
          <w:lang w:val="en-GB"/>
        </w:rPr>
        <w:t xml:space="preserve">, where were taken a decision for distribution of dividend in amount of BGN 1,05 per share or BGN </w:t>
      </w:r>
      <w:r w:rsidRPr="00B87514">
        <w:rPr>
          <w:lang w:val="en-GB"/>
        </w:rPr>
        <w:t>5 602</w:t>
      </w:r>
      <w:r>
        <w:rPr>
          <w:lang w:val="en-GB"/>
        </w:rPr>
        <w:t> </w:t>
      </w:r>
      <w:r w:rsidRPr="00B87514">
        <w:rPr>
          <w:lang w:val="en-GB"/>
        </w:rPr>
        <w:t>715</w:t>
      </w:r>
      <w:r>
        <w:rPr>
          <w:lang w:val="en-GB"/>
        </w:rPr>
        <w:t xml:space="preserve"> in total and were voted changes in the Board of Directors.</w:t>
      </w:r>
    </w:p>
    <w:p w:rsidR="003808EA" w:rsidRPr="00746EDE" w:rsidRDefault="003808EA" w:rsidP="00E93735">
      <w:pPr>
        <w:pStyle w:val="BodyText"/>
        <w:spacing w:after="120"/>
        <w:ind w:right="-180"/>
        <w:rPr>
          <w:lang w:val="en-GB"/>
        </w:rPr>
      </w:pPr>
    </w:p>
    <w:p w:rsidR="004E69FB" w:rsidRPr="00746EDE" w:rsidRDefault="008B0216" w:rsidP="00E93735">
      <w:pPr>
        <w:pStyle w:val="BodyText"/>
        <w:spacing w:after="120"/>
        <w:ind w:right="-180"/>
        <w:rPr>
          <w:lang w:val="en-GB"/>
        </w:rPr>
      </w:pPr>
      <w:r w:rsidRPr="00746EDE">
        <w:rPr>
          <w:lang w:val="en-GB"/>
        </w:rPr>
        <w:br w:type="page"/>
      </w:r>
      <w:r w:rsidR="00101744" w:rsidRPr="00746EDE">
        <w:rPr>
          <w:b/>
          <w:lang w:val="en-GB"/>
        </w:rPr>
        <w:lastRenderedPageBreak/>
        <w:t xml:space="preserve">II. </w:t>
      </w:r>
      <w:r w:rsidR="00B87514">
        <w:rPr>
          <w:b/>
          <w:lang w:val="en-GB"/>
        </w:rPr>
        <w:t>RISK FACTORS IN COMPANY OPERATIONS</w:t>
      </w:r>
      <w:r w:rsidR="00101744" w:rsidRPr="00746EDE">
        <w:rPr>
          <w:b/>
          <w:lang w:val="en-GB"/>
        </w:rPr>
        <w:t>.</w:t>
      </w:r>
    </w:p>
    <w:p w:rsidR="00B87514" w:rsidRPr="00CC4D0E" w:rsidRDefault="00B87514" w:rsidP="00B87514">
      <w:pPr>
        <w:pStyle w:val="BodyText"/>
        <w:spacing w:after="120"/>
        <w:rPr>
          <w:lang w:val="en-US"/>
        </w:rPr>
      </w:pPr>
      <w:r w:rsidRPr="00CC4D0E">
        <w:rPr>
          <w:lang w:val="en-US"/>
        </w:rPr>
        <w:t xml:space="preserve">“Speedy“ AD aims at keeping a low-risk profile </w:t>
      </w:r>
      <w:r>
        <w:rPr>
          <w:lang w:val="en-US"/>
        </w:rPr>
        <w:t>through maintaining A</w:t>
      </w:r>
      <w:r w:rsidRPr="00CC4D0E">
        <w:rPr>
          <w:lang w:val="en-US"/>
        </w:rPr>
        <w:t xml:space="preserve"> low levels of financial and operating leverage, high level of efficiency, </w:t>
      </w:r>
      <w:r>
        <w:rPr>
          <w:lang w:val="en-US"/>
        </w:rPr>
        <w:t>implementation</w:t>
      </w:r>
      <w:r w:rsidRPr="00CC4D0E">
        <w:rPr>
          <w:lang w:val="en-US"/>
        </w:rPr>
        <w:t xml:space="preserve"> of strict rules and procedures </w:t>
      </w:r>
      <w:r>
        <w:rPr>
          <w:lang w:val="en-US"/>
        </w:rPr>
        <w:t>in operations</w:t>
      </w:r>
      <w:r w:rsidRPr="00CC4D0E">
        <w:rPr>
          <w:lang w:val="en-US"/>
        </w:rPr>
        <w:t xml:space="preserve"> and strict compliance, diversification of </w:t>
      </w:r>
      <w:r>
        <w:rPr>
          <w:lang w:val="en-US"/>
        </w:rPr>
        <w:t xml:space="preserve">customer base and </w:t>
      </w:r>
      <w:r w:rsidRPr="00CC4D0E">
        <w:rPr>
          <w:lang w:val="en-US"/>
        </w:rPr>
        <w:t>suppliers.</w:t>
      </w:r>
    </w:p>
    <w:p w:rsidR="00B87514" w:rsidRPr="00CC4D0E" w:rsidRDefault="00B87514" w:rsidP="00B87514">
      <w:pPr>
        <w:pStyle w:val="BodyText"/>
        <w:spacing w:after="120"/>
        <w:ind w:right="-180"/>
        <w:rPr>
          <w:i/>
          <w:u w:val="single"/>
          <w:lang w:val="en-US"/>
        </w:rPr>
      </w:pPr>
      <w:r w:rsidRPr="00CC4D0E">
        <w:rPr>
          <w:i/>
          <w:u w:val="single"/>
          <w:lang w:val="en-US"/>
        </w:rPr>
        <w:t>Macroeconomic risk</w:t>
      </w:r>
    </w:p>
    <w:p w:rsidR="00725CC9" w:rsidRDefault="00725CC9" w:rsidP="008C6243">
      <w:pPr>
        <w:pStyle w:val="BodyText"/>
        <w:spacing w:after="120"/>
        <w:rPr>
          <w:lang w:val="en-GB"/>
        </w:rPr>
      </w:pPr>
      <w:r w:rsidRPr="00725CC9">
        <w:rPr>
          <w:lang w:val="en-GB"/>
        </w:rPr>
        <w:t>Speedy</w:t>
      </w:r>
      <w:proofErr w:type="gramStart"/>
      <w:r w:rsidRPr="00725CC9">
        <w:rPr>
          <w:lang w:val="en-GB"/>
        </w:rPr>
        <w:t>“ AD</w:t>
      </w:r>
      <w:proofErr w:type="gramEnd"/>
      <w:r w:rsidRPr="00725CC9">
        <w:rPr>
          <w:lang w:val="en-GB"/>
        </w:rPr>
        <w:t xml:space="preserve"> covers the whole country and provides services to companies of different sectors of the economy. Hence, the activity of the company depends heavily on economy conditions and overall business environment. Potential shrinking of the economy and the consumption would affect the profit margins, while a considerable and prolonged slow-down in the business activity might lead to a negative trend in the revenues. </w:t>
      </w:r>
      <w:r>
        <w:rPr>
          <w:lang w:val="en-GB"/>
        </w:rPr>
        <w:t xml:space="preserve">The company mitigates the risk by maintaining high level of financial independence and constantly invests in </w:t>
      </w:r>
      <w:r w:rsidR="003B3D75">
        <w:rPr>
          <w:lang w:val="en-GB"/>
        </w:rPr>
        <w:t xml:space="preserve">efficiency improvement, which allows </w:t>
      </w:r>
      <w:proofErr w:type="gramStart"/>
      <w:r w:rsidR="003B3D75">
        <w:rPr>
          <w:lang w:val="en-GB"/>
        </w:rPr>
        <w:t>to achieve</w:t>
      </w:r>
      <w:proofErr w:type="gramEnd"/>
      <w:r w:rsidR="003B3D75">
        <w:rPr>
          <w:lang w:val="en-GB"/>
        </w:rPr>
        <w:t xml:space="preserve"> profitability well above its competitors.</w:t>
      </w:r>
    </w:p>
    <w:p w:rsidR="003B3D75" w:rsidRPr="00CC4D0E" w:rsidRDefault="003B3D75" w:rsidP="003B3D75">
      <w:pPr>
        <w:pStyle w:val="BodyText"/>
        <w:spacing w:after="120"/>
        <w:ind w:right="-180"/>
        <w:rPr>
          <w:i/>
          <w:u w:val="single"/>
          <w:lang w:val="en-US"/>
        </w:rPr>
      </w:pPr>
      <w:r w:rsidRPr="00CC4D0E">
        <w:rPr>
          <w:i/>
          <w:u w:val="single"/>
          <w:lang w:val="en-US"/>
        </w:rPr>
        <w:t>Regulatory risk</w:t>
      </w:r>
    </w:p>
    <w:p w:rsidR="00C42FC0" w:rsidRPr="00CC4D0E" w:rsidRDefault="00C42FC0" w:rsidP="00C42FC0">
      <w:pPr>
        <w:pStyle w:val="BodyText"/>
        <w:spacing w:after="120"/>
        <w:rPr>
          <w:lang w:val="en-US"/>
        </w:rPr>
      </w:pPr>
      <w:bookmarkStart w:id="1" w:name="_Toc324376901"/>
      <w:bookmarkStart w:id="2" w:name="_Toc324380060"/>
      <w:r w:rsidRPr="00CC4D0E">
        <w:rPr>
          <w:lang w:val="en-US"/>
        </w:rPr>
        <w:t>The regulatory risk is associated with adoption o</w:t>
      </w:r>
      <w:r>
        <w:rPr>
          <w:lang w:val="en-US"/>
        </w:rPr>
        <w:t>f regulations</w:t>
      </w:r>
      <w:r w:rsidRPr="00CC4D0E">
        <w:rPr>
          <w:lang w:val="en-US"/>
        </w:rPr>
        <w:t xml:space="preserve">, which might </w:t>
      </w:r>
      <w:r>
        <w:rPr>
          <w:lang w:val="en-US"/>
        </w:rPr>
        <w:t>result in</w:t>
      </w:r>
      <w:r w:rsidRPr="00CC4D0E">
        <w:rPr>
          <w:lang w:val="en-US"/>
        </w:rPr>
        <w:t xml:space="preserve"> additional costs or restrictions </w:t>
      </w:r>
      <w:r>
        <w:rPr>
          <w:lang w:val="en-US"/>
        </w:rPr>
        <w:t>on</w:t>
      </w:r>
      <w:r w:rsidRPr="00CC4D0E">
        <w:rPr>
          <w:lang w:val="en-US"/>
        </w:rPr>
        <w:t xml:space="preserve"> the ac</w:t>
      </w:r>
      <w:r>
        <w:rPr>
          <w:lang w:val="en-US"/>
        </w:rPr>
        <w:t>tivity of the company. Currently</w:t>
      </w:r>
      <w:r w:rsidRPr="00CC4D0E">
        <w:rPr>
          <w:lang w:val="en-US"/>
        </w:rPr>
        <w:t xml:space="preserve">, are </w:t>
      </w:r>
      <w:r>
        <w:rPr>
          <w:lang w:val="en-US"/>
        </w:rPr>
        <w:t xml:space="preserve">not </w:t>
      </w:r>
      <w:r w:rsidRPr="00CC4D0E">
        <w:rPr>
          <w:lang w:val="en-US"/>
        </w:rPr>
        <w:t>expected</w:t>
      </w:r>
      <w:r>
        <w:rPr>
          <w:lang w:val="en-US"/>
        </w:rPr>
        <w:t xml:space="preserve"> implementation of </w:t>
      </w:r>
      <w:r w:rsidRPr="00CC4D0E">
        <w:rPr>
          <w:lang w:val="en-US"/>
        </w:rPr>
        <w:t xml:space="preserve">changes, which might encumber the activity or </w:t>
      </w:r>
      <w:r>
        <w:rPr>
          <w:lang w:val="en-US"/>
        </w:rPr>
        <w:t>may involve</w:t>
      </w:r>
      <w:r w:rsidRPr="00CC4D0E">
        <w:rPr>
          <w:lang w:val="en-US"/>
        </w:rPr>
        <w:t xml:space="preserve"> additional </w:t>
      </w:r>
      <w:proofErr w:type="gramStart"/>
      <w:r w:rsidRPr="00CC4D0E">
        <w:rPr>
          <w:lang w:val="en-US"/>
        </w:rPr>
        <w:t>costs.</w:t>
      </w:r>
      <w:proofErr w:type="gramEnd"/>
    </w:p>
    <w:bookmarkEnd w:id="1"/>
    <w:bookmarkEnd w:id="2"/>
    <w:p w:rsidR="009A25FD" w:rsidRPr="00CC4D0E" w:rsidRDefault="009A25FD" w:rsidP="009A25FD">
      <w:pPr>
        <w:pStyle w:val="BodyText"/>
        <w:spacing w:after="120"/>
        <w:ind w:right="-180"/>
        <w:rPr>
          <w:i/>
          <w:u w:val="single"/>
          <w:lang w:val="en-US"/>
        </w:rPr>
      </w:pPr>
      <w:r w:rsidRPr="00CC4D0E">
        <w:rPr>
          <w:i/>
          <w:u w:val="single"/>
          <w:lang w:val="en-US"/>
        </w:rPr>
        <w:t>Interest rate risk</w:t>
      </w:r>
    </w:p>
    <w:p w:rsidR="009A25FD" w:rsidRPr="00CC4D0E" w:rsidRDefault="009A25FD" w:rsidP="009A25FD">
      <w:pPr>
        <w:pStyle w:val="BodyText"/>
        <w:spacing w:after="120"/>
        <w:rPr>
          <w:lang w:val="en-US"/>
        </w:rPr>
      </w:pPr>
      <w:r w:rsidRPr="00CC4D0E">
        <w:rPr>
          <w:lang w:val="en-US"/>
        </w:rPr>
        <w:t>All interests</w:t>
      </w:r>
      <w:r>
        <w:rPr>
          <w:lang w:val="en-US"/>
        </w:rPr>
        <w:t>-bearing liabilities</w:t>
      </w:r>
      <w:r w:rsidRPr="00CC4D0E">
        <w:rPr>
          <w:lang w:val="en-US"/>
        </w:rPr>
        <w:t xml:space="preserve"> of “Speedy</w:t>
      </w:r>
      <w:proofErr w:type="gramStart"/>
      <w:r w:rsidRPr="00CC4D0E">
        <w:rPr>
          <w:lang w:val="en-US"/>
        </w:rPr>
        <w:t>“ AD</w:t>
      </w:r>
      <w:proofErr w:type="gramEnd"/>
      <w:r w:rsidRPr="00CC4D0E">
        <w:rPr>
          <w:lang w:val="en-US"/>
        </w:rPr>
        <w:t xml:space="preserve"> are with floating interest rate, EURIBOR and SOFIBOR. </w:t>
      </w:r>
      <w:r>
        <w:rPr>
          <w:lang w:val="en-US"/>
        </w:rPr>
        <w:t>Respectively</w:t>
      </w:r>
      <w:r w:rsidRPr="00CC4D0E">
        <w:rPr>
          <w:lang w:val="en-US"/>
        </w:rPr>
        <w:t xml:space="preserve">, the increase in the overall interest </w:t>
      </w:r>
      <w:r>
        <w:rPr>
          <w:lang w:val="en-US"/>
        </w:rPr>
        <w:t>levels</w:t>
      </w:r>
      <w:r w:rsidRPr="00CC4D0E">
        <w:rPr>
          <w:lang w:val="en-US"/>
        </w:rPr>
        <w:t xml:space="preserve"> would have a negative effect on the company. The expansionary monetary policy of the leading central banks </w:t>
      </w:r>
      <w:r>
        <w:rPr>
          <w:lang w:val="en-US"/>
        </w:rPr>
        <w:t>dampen t</w:t>
      </w:r>
      <w:r w:rsidRPr="00CC4D0E">
        <w:rPr>
          <w:lang w:val="en-US"/>
        </w:rPr>
        <w:t>he main interest rates</w:t>
      </w:r>
      <w:r>
        <w:rPr>
          <w:lang w:val="en-US"/>
        </w:rPr>
        <w:t xml:space="preserve"> and</w:t>
      </w:r>
      <w:r w:rsidRPr="00CC4D0E">
        <w:rPr>
          <w:lang w:val="en-US"/>
        </w:rPr>
        <w:t xml:space="preserve"> </w:t>
      </w:r>
      <w:r>
        <w:rPr>
          <w:lang w:val="en-US"/>
        </w:rPr>
        <w:t xml:space="preserve">most </w:t>
      </w:r>
      <w:proofErr w:type="gramStart"/>
      <w:r>
        <w:rPr>
          <w:lang w:val="en-US"/>
        </w:rPr>
        <w:t>likely</w:t>
      </w:r>
      <w:proofErr w:type="gramEnd"/>
      <w:r w:rsidRPr="00CC4D0E">
        <w:rPr>
          <w:lang w:val="en-US"/>
        </w:rPr>
        <w:t xml:space="preserve"> these levels will be sustained in the medium term, </w:t>
      </w:r>
      <w:r>
        <w:rPr>
          <w:lang w:val="en-US"/>
        </w:rPr>
        <w:t xml:space="preserve">and </w:t>
      </w:r>
      <w:r w:rsidRPr="00CC4D0E">
        <w:rPr>
          <w:lang w:val="en-US"/>
        </w:rPr>
        <w:t>considerable negat</w:t>
      </w:r>
      <w:r>
        <w:rPr>
          <w:lang w:val="en-US"/>
        </w:rPr>
        <w:t>ive change is unlikely</w:t>
      </w:r>
      <w:r w:rsidRPr="00CC4D0E">
        <w:rPr>
          <w:lang w:val="en-US"/>
        </w:rPr>
        <w:t>.</w:t>
      </w:r>
    </w:p>
    <w:p w:rsidR="0025674A" w:rsidRPr="00CC4D0E" w:rsidRDefault="0025674A" w:rsidP="0025674A">
      <w:pPr>
        <w:pStyle w:val="BodyText"/>
        <w:spacing w:after="120"/>
        <w:ind w:right="-180"/>
        <w:rPr>
          <w:i/>
          <w:u w:val="single"/>
          <w:lang w:val="en-US"/>
        </w:rPr>
      </w:pPr>
      <w:r w:rsidRPr="00CC4D0E">
        <w:rPr>
          <w:i/>
          <w:u w:val="single"/>
          <w:lang w:val="en-US"/>
        </w:rPr>
        <w:t>Credit risk</w:t>
      </w:r>
    </w:p>
    <w:p w:rsidR="0025674A" w:rsidRPr="00CC4D0E" w:rsidRDefault="0025674A" w:rsidP="0025674A">
      <w:pPr>
        <w:pStyle w:val="BodyText"/>
        <w:spacing w:after="120"/>
        <w:rPr>
          <w:lang w:val="en-US"/>
        </w:rPr>
      </w:pPr>
      <w:r w:rsidRPr="00CC4D0E">
        <w:rPr>
          <w:lang w:val="en-US"/>
        </w:rPr>
        <w:t xml:space="preserve">Almost 80 % of the revenues are generated from customers under contracts and therefore the service is not paid, when rendered, but on a monthly basis. In case of </w:t>
      </w:r>
      <w:r>
        <w:rPr>
          <w:lang w:val="en-US"/>
        </w:rPr>
        <w:t>deterioration of</w:t>
      </w:r>
      <w:r w:rsidRPr="00CC4D0E">
        <w:rPr>
          <w:lang w:val="en-US"/>
        </w:rPr>
        <w:t xml:space="preserve"> economic situation, the amount of the </w:t>
      </w:r>
      <w:r>
        <w:rPr>
          <w:lang w:val="en-US"/>
        </w:rPr>
        <w:t>past-due</w:t>
      </w:r>
      <w:r w:rsidRPr="00CC4D0E">
        <w:rPr>
          <w:lang w:val="en-US"/>
        </w:rPr>
        <w:t xml:space="preserve"> receivables may increase considerably. The company has implemented a detailed and strict system to monitor the </w:t>
      </w:r>
      <w:r>
        <w:rPr>
          <w:lang w:val="en-US"/>
        </w:rPr>
        <w:t>account</w:t>
      </w:r>
      <w:r w:rsidRPr="00CC4D0E">
        <w:rPr>
          <w:lang w:val="en-US"/>
        </w:rPr>
        <w:t xml:space="preserve"> payable</w:t>
      </w:r>
      <w:r>
        <w:rPr>
          <w:lang w:val="en-US"/>
        </w:rPr>
        <w:t>s</w:t>
      </w:r>
      <w:r w:rsidRPr="00CC4D0E">
        <w:rPr>
          <w:lang w:val="en-US"/>
        </w:rPr>
        <w:t xml:space="preserve"> and </w:t>
      </w:r>
      <w:r>
        <w:rPr>
          <w:lang w:val="en-US"/>
        </w:rPr>
        <w:t>their maturity</w:t>
      </w:r>
      <w:r w:rsidRPr="00CC4D0E">
        <w:rPr>
          <w:lang w:val="en-US"/>
        </w:rPr>
        <w:t xml:space="preserve">, as well as a procedure for action in case of overdue payment. </w:t>
      </w:r>
      <w:r>
        <w:rPr>
          <w:lang w:val="en-US"/>
        </w:rPr>
        <w:t xml:space="preserve">Following </w:t>
      </w:r>
      <w:r w:rsidRPr="00CC4D0E">
        <w:rPr>
          <w:lang w:val="en-US"/>
        </w:rPr>
        <w:t xml:space="preserve">the </w:t>
      </w:r>
      <w:r>
        <w:rPr>
          <w:lang w:val="en-US"/>
        </w:rPr>
        <w:t>improvement</w:t>
      </w:r>
      <w:r w:rsidRPr="00CC4D0E">
        <w:rPr>
          <w:lang w:val="en-US"/>
        </w:rPr>
        <w:t xml:space="preserve"> </w:t>
      </w:r>
      <w:r>
        <w:rPr>
          <w:lang w:val="en-US"/>
        </w:rPr>
        <w:t xml:space="preserve">in </w:t>
      </w:r>
      <w:r w:rsidRPr="00CC4D0E">
        <w:rPr>
          <w:lang w:val="en-US"/>
        </w:rPr>
        <w:t xml:space="preserve">economic situation, the provisions for </w:t>
      </w:r>
      <w:r>
        <w:rPr>
          <w:lang w:val="en-US"/>
        </w:rPr>
        <w:t>past-due</w:t>
      </w:r>
      <w:r w:rsidRPr="00CC4D0E">
        <w:rPr>
          <w:lang w:val="en-US"/>
        </w:rPr>
        <w:t xml:space="preserve"> payments considerably de</w:t>
      </w:r>
      <w:r>
        <w:rPr>
          <w:lang w:val="en-US"/>
        </w:rPr>
        <w:t>creased during the recent years and</w:t>
      </w:r>
      <w:r w:rsidRPr="00CC4D0E">
        <w:rPr>
          <w:lang w:val="en-US"/>
        </w:rPr>
        <w:t xml:space="preserve"> the company </w:t>
      </w:r>
      <w:r>
        <w:rPr>
          <w:lang w:val="en-US"/>
        </w:rPr>
        <w:t>were</w:t>
      </w:r>
      <w:r w:rsidRPr="00CC4D0E">
        <w:rPr>
          <w:lang w:val="en-US"/>
        </w:rPr>
        <w:t xml:space="preserve"> able to collect a substantial part of its receivables, which </w:t>
      </w:r>
      <w:proofErr w:type="gramStart"/>
      <w:r>
        <w:rPr>
          <w:lang w:val="en-US"/>
        </w:rPr>
        <w:t>had</w:t>
      </w:r>
      <w:r w:rsidRPr="00CC4D0E">
        <w:rPr>
          <w:lang w:val="en-US"/>
        </w:rPr>
        <w:t xml:space="preserve"> already </w:t>
      </w:r>
      <w:r>
        <w:rPr>
          <w:lang w:val="en-US"/>
        </w:rPr>
        <w:t xml:space="preserve">been </w:t>
      </w:r>
      <w:r w:rsidRPr="00CC4D0E">
        <w:rPr>
          <w:lang w:val="en-US"/>
        </w:rPr>
        <w:t>provisioned</w:t>
      </w:r>
      <w:proofErr w:type="gramEnd"/>
      <w:r w:rsidRPr="00CC4D0E">
        <w:rPr>
          <w:lang w:val="en-US"/>
        </w:rPr>
        <w:t xml:space="preserve">. As a result, the total amount of the </w:t>
      </w:r>
      <w:r>
        <w:rPr>
          <w:lang w:val="en-US"/>
        </w:rPr>
        <w:t>accumulated</w:t>
      </w:r>
      <w:r w:rsidRPr="00CC4D0E">
        <w:rPr>
          <w:lang w:val="en-US"/>
        </w:rPr>
        <w:t xml:space="preserve"> provisions is decreasing during the recent years.</w:t>
      </w:r>
    </w:p>
    <w:p w:rsidR="0025674A" w:rsidRPr="00CC4D0E" w:rsidRDefault="0025674A" w:rsidP="0025674A">
      <w:pPr>
        <w:pStyle w:val="BodyText"/>
        <w:spacing w:after="120"/>
        <w:rPr>
          <w:lang w:val="en-US"/>
        </w:rPr>
      </w:pPr>
      <w:r w:rsidRPr="00CC4D0E">
        <w:rPr>
          <w:lang w:val="en-US"/>
        </w:rPr>
        <w:t xml:space="preserve">The cash </w:t>
      </w:r>
      <w:proofErr w:type="gramStart"/>
      <w:r w:rsidRPr="00CC4D0E">
        <w:rPr>
          <w:lang w:val="en-US"/>
        </w:rPr>
        <w:t>is kept</w:t>
      </w:r>
      <w:proofErr w:type="gramEnd"/>
      <w:r w:rsidRPr="00CC4D0E">
        <w:rPr>
          <w:lang w:val="en-US"/>
        </w:rPr>
        <w:t xml:space="preserve"> with a view to the lowest risk. The banks of the company are with the highest rating in the country.</w:t>
      </w:r>
    </w:p>
    <w:p w:rsidR="0025674A" w:rsidRPr="00CC4D0E" w:rsidRDefault="0025674A" w:rsidP="0025674A">
      <w:pPr>
        <w:pStyle w:val="BodyText"/>
        <w:spacing w:after="120"/>
        <w:ind w:right="-180"/>
        <w:rPr>
          <w:i/>
          <w:u w:val="single"/>
          <w:lang w:val="en-US"/>
        </w:rPr>
      </w:pPr>
      <w:r w:rsidRPr="00CC4D0E">
        <w:rPr>
          <w:i/>
          <w:u w:val="single"/>
          <w:lang w:val="en-US"/>
        </w:rPr>
        <w:t>Price risk</w:t>
      </w:r>
    </w:p>
    <w:p w:rsidR="0025674A" w:rsidRPr="00CC4D0E" w:rsidRDefault="0025674A" w:rsidP="0025674A">
      <w:pPr>
        <w:pStyle w:val="BodyText"/>
        <w:spacing w:after="120"/>
        <w:rPr>
          <w:lang w:val="en-US"/>
        </w:rPr>
      </w:pPr>
      <w:r w:rsidRPr="00CC4D0E">
        <w:rPr>
          <w:lang w:val="en-US"/>
        </w:rPr>
        <w:t xml:space="preserve">The price risk </w:t>
      </w:r>
      <w:proofErr w:type="gramStart"/>
      <w:r w:rsidRPr="00CC4D0E">
        <w:rPr>
          <w:lang w:val="en-US"/>
        </w:rPr>
        <w:t>is related</w:t>
      </w:r>
      <w:proofErr w:type="gramEnd"/>
      <w:r w:rsidRPr="00CC4D0E">
        <w:rPr>
          <w:lang w:val="en-US"/>
        </w:rPr>
        <w:t xml:space="preserve"> to the average inflation level in the country and to the level of competition. After 2009, the inflation in the country is low and in </w:t>
      </w:r>
      <w:proofErr w:type="gramStart"/>
      <w:r w:rsidRPr="00CC4D0E">
        <w:rPr>
          <w:lang w:val="en-US"/>
        </w:rPr>
        <w:t>2014</w:t>
      </w:r>
      <w:proofErr w:type="gramEnd"/>
      <w:r w:rsidRPr="00CC4D0E">
        <w:rPr>
          <w:lang w:val="en-US"/>
        </w:rPr>
        <w:t xml:space="preserve"> it reached negative levels. </w:t>
      </w:r>
      <w:r>
        <w:rPr>
          <w:lang w:val="en-US"/>
        </w:rPr>
        <w:t>That</w:t>
      </w:r>
      <w:proofErr w:type="gramStart"/>
      <w:r>
        <w:rPr>
          <w:lang w:val="en-US"/>
        </w:rPr>
        <w:tab/>
      </w:r>
      <w:r w:rsidRPr="00CC4D0E">
        <w:rPr>
          <w:lang w:val="en-US"/>
        </w:rPr>
        <w:t>,</w:t>
      </w:r>
      <w:proofErr w:type="gramEnd"/>
      <w:r w:rsidRPr="00CC4D0E">
        <w:rPr>
          <w:lang w:val="en-US"/>
        </w:rPr>
        <w:t xml:space="preserve"> combined with the high competition, </w:t>
      </w:r>
      <w:r>
        <w:rPr>
          <w:lang w:val="en-US"/>
        </w:rPr>
        <w:t>put</w:t>
      </w:r>
      <w:r w:rsidRPr="00CC4D0E">
        <w:rPr>
          <w:lang w:val="en-US"/>
        </w:rPr>
        <w:t xml:space="preserve"> pressure on the prices of the services. Thanks to investments in efficiency and </w:t>
      </w:r>
      <w:r>
        <w:rPr>
          <w:lang w:val="en-US"/>
        </w:rPr>
        <w:t>improvement</w:t>
      </w:r>
      <w:r w:rsidRPr="00CC4D0E">
        <w:rPr>
          <w:lang w:val="en-US"/>
        </w:rPr>
        <w:t xml:space="preserve"> of the processes, “Speedy</w:t>
      </w:r>
      <w:proofErr w:type="gramStart"/>
      <w:r w:rsidRPr="00CC4D0E">
        <w:rPr>
          <w:lang w:val="en-US"/>
        </w:rPr>
        <w:t>“ AD</w:t>
      </w:r>
      <w:proofErr w:type="gramEnd"/>
      <w:r w:rsidRPr="00CC4D0E">
        <w:rPr>
          <w:lang w:val="en-US"/>
        </w:rPr>
        <w:t xml:space="preserve"> manages to maintain its competitiveness and has an opportunity to achieve high profitability </w:t>
      </w:r>
      <w:r>
        <w:rPr>
          <w:lang w:val="en-US"/>
        </w:rPr>
        <w:t>despite</w:t>
      </w:r>
      <w:r w:rsidRPr="00CC4D0E">
        <w:rPr>
          <w:lang w:val="en-US"/>
        </w:rPr>
        <w:t xml:space="preserve"> of the price pressure.</w:t>
      </w:r>
    </w:p>
    <w:p w:rsidR="00E33821" w:rsidRPr="00CC4D0E" w:rsidRDefault="00E33821" w:rsidP="00E33821">
      <w:pPr>
        <w:pStyle w:val="BodyText"/>
        <w:spacing w:after="120"/>
        <w:ind w:right="-180"/>
        <w:rPr>
          <w:i/>
          <w:u w:val="single"/>
          <w:lang w:val="en-US"/>
        </w:rPr>
      </w:pPr>
      <w:r w:rsidRPr="00CC4D0E">
        <w:rPr>
          <w:i/>
          <w:u w:val="single"/>
          <w:lang w:val="en-US"/>
        </w:rPr>
        <w:t>Currency risk</w:t>
      </w:r>
    </w:p>
    <w:p w:rsidR="00E33821" w:rsidRDefault="00E33821" w:rsidP="00E33821">
      <w:pPr>
        <w:pStyle w:val="BodyText"/>
        <w:spacing w:after="120"/>
        <w:ind w:right="-180"/>
        <w:rPr>
          <w:lang w:val="en-US"/>
        </w:rPr>
      </w:pPr>
      <w:r w:rsidRPr="00CC4D0E">
        <w:rPr>
          <w:lang w:val="en-US"/>
        </w:rPr>
        <w:t>The curren</w:t>
      </w:r>
      <w:r>
        <w:rPr>
          <w:lang w:val="en-US"/>
        </w:rPr>
        <w:t xml:space="preserve">cy exposures of the company incur due to </w:t>
      </w:r>
      <w:r w:rsidRPr="00CC4D0E">
        <w:rPr>
          <w:lang w:val="en-US"/>
        </w:rPr>
        <w:t xml:space="preserve">deliveries </w:t>
      </w:r>
      <w:r>
        <w:rPr>
          <w:lang w:val="en-US"/>
        </w:rPr>
        <w:t>to and f</w:t>
      </w:r>
      <w:r w:rsidRPr="00CC4D0E">
        <w:rPr>
          <w:lang w:val="en-US"/>
        </w:rPr>
        <w:t>r</w:t>
      </w:r>
      <w:r>
        <w:rPr>
          <w:lang w:val="en-US"/>
        </w:rPr>
        <w:t>om</w:t>
      </w:r>
      <w:r w:rsidRPr="00CC4D0E">
        <w:rPr>
          <w:lang w:val="en-US"/>
        </w:rPr>
        <w:t xml:space="preserve"> abroad, whose share in the total revenues is currently low. The bigger part of the currency operations </w:t>
      </w:r>
      <w:proofErr w:type="gramStart"/>
      <w:r w:rsidRPr="00CC4D0E">
        <w:rPr>
          <w:lang w:val="en-US"/>
        </w:rPr>
        <w:t>are carried out</w:t>
      </w:r>
      <w:proofErr w:type="gramEnd"/>
      <w:r w:rsidRPr="00CC4D0E">
        <w:rPr>
          <w:lang w:val="en-US"/>
        </w:rPr>
        <w:t xml:space="preserve"> in EUR. Therefore, the total effect of the change in the exchange rates is negligible. The increase in the international deliveries is one of the main </w:t>
      </w:r>
      <w:r>
        <w:rPr>
          <w:lang w:val="en-US"/>
        </w:rPr>
        <w:t>sources of growth in the future</w:t>
      </w:r>
      <w:r w:rsidRPr="00CC4D0E">
        <w:rPr>
          <w:lang w:val="en-US"/>
        </w:rPr>
        <w:t xml:space="preserve">, which is also expected to lead </w:t>
      </w:r>
      <w:r w:rsidRPr="00CC4D0E">
        <w:rPr>
          <w:lang w:val="en-US"/>
        </w:rPr>
        <w:lastRenderedPageBreak/>
        <w:t xml:space="preserve">to an increase in the currency exposure in the </w:t>
      </w:r>
      <w:proofErr w:type="gramStart"/>
      <w:r w:rsidRPr="00CC4D0E">
        <w:rPr>
          <w:lang w:val="en-US"/>
        </w:rPr>
        <w:t>long run</w:t>
      </w:r>
      <w:proofErr w:type="gramEnd"/>
      <w:r w:rsidRPr="00CC4D0E">
        <w:rPr>
          <w:lang w:val="en-US"/>
        </w:rPr>
        <w:t xml:space="preserve">. During this year, transactions </w:t>
      </w:r>
      <w:r>
        <w:rPr>
          <w:lang w:val="en-US"/>
        </w:rPr>
        <w:t xml:space="preserve">were carries out </w:t>
      </w:r>
      <w:r w:rsidRPr="00CC4D0E">
        <w:rPr>
          <w:lang w:val="en-US"/>
        </w:rPr>
        <w:t xml:space="preserve">in EUR, BGN and RON. If the fixed exchange rate BGN – EUR </w:t>
      </w:r>
      <w:proofErr w:type="gramStart"/>
      <w:r w:rsidRPr="00CC4D0E">
        <w:rPr>
          <w:lang w:val="en-US"/>
        </w:rPr>
        <w:t>is maintained</w:t>
      </w:r>
      <w:proofErr w:type="gramEnd"/>
      <w:r w:rsidRPr="00CC4D0E">
        <w:rPr>
          <w:lang w:val="en-US"/>
        </w:rPr>
        <w:t xml:space="preserve">, in the medium term we do not envisage considerable effect on the financial result of the company caused by the changes in the exchange rates. After the acquisition of DPD Romania SA, transactions in RON </w:t>
      </w:r>
      <w:r>
        <w:rPr>
          <w:lang w:val="en-US"/>
        </w:rPr>
        <w:t xml:space="preserve">increased substantially </w:t>
      </w:r>
      <w:r w:rsidRPr="00CC4D0E">
        <w:rPr>
          <w:lang w:val="en-US"/>
        </w:rPr>
        <w:t xml:space="preserve">and, respectively, the currency risk exposure. The share in the total revenues of the operations in RON is small and do not have a considerable effect on the </w:t>
      </w:r>
      <w:proofErr w:type="gramStart"/>
      <w:r w:rsidRPr="00CC4D0E">
        <w:rPr>
          <w:lang w:val="en-US"/>
        </w:rPr>
        <w:t>final result</w:t>
      </w:r>
      <w:proofErr w:type="gramEnd"/>
      <w:r w:rsidRPr="00CC4D0E">
        <w:rPr>
          <w:lang w:val="en-US"/>
        </w:rPr>
        <w:t xml:space="preserve">. The change in the BGN/RON exchange rate has a considerable effect </w:t>
      </w:r>
      <w:r>
        <w:rPr>
          <w:lang w:val="en-US"/>
        </w:rPr>
        <w:t>on</w:t>
      </w:r>
      <w:r w:rsidRPr="00CC4D0E">
        <w:rPr>
          <w:lang w:val="en-US"/>
        </w:rPr>
        <w:t xml:space="preserve"> consolidation of DPD Romania SA, since the revenues constitute about 30 % of the consolidated revenues.</w:t>
      </w:r>
    </w:p>
    <w:p w:rsidR="0003486A" w:rsidRPr="00CC4D0E" w:rsidRDefault="0003486A" w:rsidP="0003486A">
      <w:pPr>
        <w:pStyle w:val="BodyText"/>
        <w:spacing w:after="120"/>
        <w:ind w:right="-180"/>
        <w:rPr>
          <w:i/>
          <w:u w:val="single"/>
          <w:lang w:val="en-US"/>
        </w:rPr>
      </w:pPr>
      <w:bookmarkStart w:id="3" w:name="_Toc254192750"/>
      <w:bookmarkStart w:id="4" w:name="_Toc254193141"/>
      <w:r w:rsidRPr="00CC4D0E">
        <w:rPr>
          <w:i/>
          <w:u w:val="single"/>
          <w:lang w:val="en-US"/>
        </w:rPr>
        <w:t>Liquidity risk</w:t>
      </w:r>
    </w:p>
    <w:p w:rsidR="0003486A" w:rsidRPr="00CC4D0E" w:rsidRDefault="0003486A" w:rsidP="0003486A">
      <w:pPr>
        <w:pStyle w:val="BodyText"/>
        <w:spacing w:after="120"/>
        <w:rPr>
          <w:lang w:val="en-US"/>
        </w:rPr>
      </w:pPr>
      <w:r w:rsidRPr="00CC4D0E">
        <w:rPr>
          <w:lang w:val="en-US"/>
        </w:rPr>
        <w:t xml:space="preserve">The liquidity risk is the risk that the company may not be able to </w:t>
      </w:r>
      <w:r>
        <w:rPr>
          <w:lang w:val="en-US"/>
        </w:rPr>
        <w:t>meet its due payments</w:t>
      </w:r>
      <w:r w:rsidRPr="00CC4D0E">
        <w:rPr>
          <w:lang w:val="en-US"/>
        </w:rPr>
        <w:t>. “Speedy</w:t>
      </w:r>
      <w:proofErr w:type="gramStart"/>
      <w:r w:rsidRPr="00CC4D0E">
        <w:rPr>
          <w:lang w:val="en-US"/>
        </w:rPr>
        <w:t>“ AD</w:t>
      </w:r>
      <w:proofErr w:type="gramEnd"/>
      <w:r w:rsidRPr="00CC4D0E">
        <w:rPr>
          <w:lang w:val="en-US"/>
        </w:rPr>
        <w:t xml:space="preserve"> has considerable payables </w:t>
      </w:r>
      <w:r>
        <w:rPr>
          <w:lang w:val="en-US"/>
        </w:rPr>
        <w:t>related</w:t>
      </w:r>
      <w:r w:rsidRPr="00CC4D0E">
        <w:rPr>
          <w:lang w:val="en-US"/>
        </w:rPr>
        <w:t xml:space="preserve"> with the payment under lease agreements and to </w:t>
      </w:r>
      <w:r>
        <w:rPr>
          <w:lang w:val="en-US"/>
        </w:rPr>
        <w:t xml:space="preserve">its </w:t>
      </w:r>
      <w:r w:rsidRPr="00CC4D0E">
        <w:rPr>
          <w:lang w:val="en-US"/>
        </w:rPr>
        <w:t xml:space="preserve">suppliers. </w:t>
      </w:r>
    </w:p>
    <w:p w:rsidR="0003486A" w:rsidRPr="00CC4D0E" w:rsidRDefault="0003486A" w:rsidP="0003486A">
      <w:pPr>
        <w:pStyle w:val="BodyText"/>
        <w:spacing w:after="120"/>
        <w:ind w:right="-180"/>
        <w:rPr>
          <w:lang w:val="en-US"/>
        </w:rPr>
      </w:pPr>
      <w:r>
        <w:rPr>
          <w:lang w:val="en-US"/>
        </w:rPr>
        <w:t>When</w:t>
      </w:r>
      <w:r w:rsidRPr="00CC4D0E">
        <w:rPr>
          <w:lang w:val="en-US"/>
        </w:rPr>
        <w:t xml:space="preserve"> managing its liquidity, the company </w:t>
      </w:r>
      <w:r>
        <w:rPr>
          <w:lang w:val="en-US"/>
        </w:rPr>
        <w:t>tune</w:t>
      </w:r>
      <w:r w:rsidRPr="00CC4D0E">
        <w:rPr>
          <w:lang w:val="en-US"/>
        </w:rPr>
        <w:t xml:space="preserve"> </w:t>
      </w:r>
      <w:r>
        <w:rPr>
          <w:lang w:val="en-US"/>
        </w:rPr>
        <w:t>its</w:t>
      </w:r>
      <w:r w:rsidRPr="00CC4D0E">
        <w:rPr>
          <w:lang w:val="en-US"/>
        </w:rPr>
        <w:t xml:space="preserve"> payments in accordance with the expected future cash flows. </w:t>
      </w:r>
      <w:r>
        <w:rPr>
          <w:lang w:val="en-US"/>
        </w:rPr>
        <w:t>In addition</w:t>
      </w:r>
      <w:r w:rsidRPr="00CC4D0E">
        <w:rPr>
          <w:lang w:val="en-US"/>
        </w:rPr>
        <w:t xml:space="preserve">, cash reserves </w:t>
      </w:r>
      <w:proofErr w:type="gramStart"/>
      <w:r w:rsidRPr="00CC4D0E">
        <w:rPr>
          <w:lang w:val="en-US"/>
        </w:rPr>
        <w:t>are maintained</w:t>
      </w:r>
      <w:proofErr w:type="gramEnd"/>
      <w:r w:rsidRPr="00CC4D0E">
        <w:rPr>
          <w:lang w:val="en-US"/>
        </w:rPr>
        <w:t xml:space="preserve"> as a buffer </w:t>
      </w:r>
      <w:r>
        <w:rPr>
          <w:lang w:val="en-US"/>
        </w:rPr>
        <w:t>in case of</w:t>
      </w:r>
      <w:r w:rsidRPr="00CC4D0E">
        <w:rPr>
          <w:lang w:val="en-US"/>
        </w:rPr>
        <w:t xml:space="preserve"> potential unfavorable </w:t>
      </w:r>
      <w:r>
        <w:rPr>
          <w:lang w:val="en-US"/>
        </w:rPr>
        <w:t>market and economic circumstances</w:t>
      </w:r>
      <w:r w:rsidRPr="00CC4D0E">
        <w:rPr>
          <w:lang w:val="en-US"/>
        </w:rPr>
        <w:t xml:space="preserve"> and, respectively, temporary shrinking of the cash proceeds. Up to </w:t>
      </w:r>
      <w:r>
        <w:rPr>
          <w:lang w:val="en-US"/>
        </w:rPr>
        <w:t>now</w:t>
      </w:r>
      <w:r w:rsidRPr="00CC4D0E">
        <w:rPr>
          <w:lang w:val="en-US"/>
        </w:rPr>
        <w:t xml:space="preserve">, the company generates considerable positive cash flow, which </w:t>
      </w:r>
      <w:r>
        <w:rPr>
          <w:lang w:val="en-US"/>
        </w:rPr>
        <w:t xml:space="preserve">allows </w:t>
      </w:r>
      <w:proofErr w:type="gramStart"/>
      <w:r>
        <w:rPr>
          <w:lang w:val="en-US"/>
        </w:rPr>
        <w:t>to meet</w:t>
      </w:r>
      <w:proofErr w:type="gramEnd"/>
      <w:r>
        <w:rPr>
          <w:lang w:val="en-US"/>
        </w:rPr>
        <w:t xml:space="preserve"> maturing payments timely</w:t>
      </w:r>
      <w:r w:rsidRPr="00CC4D0E">
        <w:rPr>
          <w:lang w:val="en-US"/>
        </w:rPr>
        <w:t xml:space="preserve"> and maintaining solid liquidity indicators.</w:t>
      </w:r>
    </w:p>
    <w:p w:rsidR="004E69FB" w:rsidRPr="00746EDE" w:rsidRDefault="004E69FB" w:rsidP="004E69FB">
      <w:pPr>
        <w:pStyle w:val="Heading2"/>
        <w:spacing w:line="288" w:lineRule="auto"/>
        <w:jc w:val="both"/>
        <w:rPr>
          <w:i/>
          <w:sz w:val="24"/>
          <w:lang w:val="en-GB"/>
        </w:rPr>
      </w:pPr>
    </w:p>
    <w:bookmarkEnd w:id="3"/>
    <w:bookmarkEnd w:id="4"/>
    <w:p w:rsidR="0003486A" w:rsidRPr="00CC4D0E" w:rsidRDefault="0003486A" w:rsidP="0003486A">
      <w:pPr>
        <w:pStyle w:val="Heading2"/>
        <w:spacing w:line="288" w:lineRule="auto"/>
        <w:jc w:val="both"/>
        <w:rPr>
          <w:i/>
          <w:sz w:val="24"/>
          <w:lang w:val="en-US"/>
        </w:rPr>
      </w:pPr>
      <w:r w:rsidRPr="00CC4D0E">
        <w:rPr>
          <w:i/>
          <w:sz w:val="24"/>
          <w:lang w:val="en-US"/>
        </w:rPr>
        <w:t xml:space="preserve">Trends </w:t>
      </w:r>
      <w:r>
        <w:rPr>
          <w:i/>
          <w:sz w:val="24"/>
          <w:lang w:val="en-US"/>
        </w:rPr>
        <w:t>in</w:t>
      </w:r>
      <w:r w:rsidRPr="00CC4D0E">
        <w:rPr>
          <w:i/>
          <w:sz w:val="24"/>
          <w:lang w:val="en-US"/>
        </w:rPr>
        <w:t xml:space="preserve"> the business areas, in which SPEEDY and </w:t>
      </w:r>
      <w:r>
        <w:rPr>
          <w:i/>
          <w:sz w:val="24"/>
          <w:lang w:val="en-US"/>
        </w:rPr>
        <w:t>its subsidiaries</w:t>
      </w:r>
      <w:r w:rsidRPr="00CC4D0E">
        <w:rPr>
          <w:i/>
          <w:sz w:val="24"/>
          <w:lang w:val="en-US"/>
        </w:rPr>
        <w:t xml:space="preserve"> operate </w:t>
      </w:r>
    </w:p>
    <w:p w:rsidR="0003486A" w:rsidRDefault="0003486A" w:rsidP="00A97C9B">
      <w:pPr>
        <w:pStyle w:val="BodyText"/>
        <w:spacing w:after="120"/>
        <w:ind w:right="-180"/>
        <w:rPr>
          <w:lang w:val="en-GB"/>
        </w:rPr>
      </w:pPr>
      <w:r>
        <w:rPr>
          <w:lang w:val="en-GB"/>
        </w:rPr>
        <w:t xml:space="preserve">The total number of registered operators is relatively large but in </w:t>
      </w:r>
      <w:proofErr w:type="gramStart"/>
      <w:r>
        <w:rPr>
          <w:lang w:val="en-GB"/>
        </w:rPr>
        <w:t>2013</w:t>
      </w:r>
      <w:proofErr w:type="gramEnd"/>
      <w:r>
        <w:rPr>
          <w:lang w:val="en-GB"/>
        </w:rPr>
        <w:t xml:space="preserve"> 56 companies carry out active operation</w:t>
      </w:r>
      <w:r w:rsidR="00A24FE9">
        <w:rPr>
          <w:lang w:val="en-GB"/>
        </w:rPr>
        <w:t xml:space="preserve">. Out of them, the top </w:t>
      </w:r>
      <w:proofErr w:type="gramStart"/>
      <w:r w:rsidR="00A24FE9">
        <w:rPr>
          <w:lang w:val="en-GB"/>
        </w:rPr>
        <w:t>5</w:t>
      </w:r>
      <w:proofErr w:type="gramEnd"/>
      <w:r w:rsidR="00A24FE9">
        <w:rPr>
          <w:lang w:val="en-GB"/>
        </w:rPr>
        <w:t xml:space="preserve"> companies generate 67% of total proceeds. The market leader on courier segment is Speedy Jsc with 30% share in non-universal services and 24% of the total postal market. The company has the advantage to operate in the largest and the fastest growing segment of the postal market and the achieved increase in revenue outpace the market as a whole </w:t>
      </w:r>
      <w:proofErr w:type="gramStart"/>
      <w:r w:rsidR="00A24FE9">
        <w:rPr>
          <w:lang w:val="en-GB"/>
        </w:rPr>
        <w:t>and ,</w:t>
      </w:r>
      <w:proofErr w:type="gramEnd"/>
      <w:r w:rsidR="00A24FE9">
        <w:rPr>
          <w:lang w:val="en-GB"/>
        </w:rPr>
        <w:t xml:space="preserve"> respectively, its market share constantly expands. The main competitor is Econt express Ltd with a market share close to Speedy’s.</w:t>
      </w:r>
    </w:p>
    <w:p w:rsidR="00A24FE9" w:rsidRDefault="00A24FE9" w:rsidP="00A97C9B">
      <w:pPr>
        <w:pStyle w:val="BodyText"/>
        <w:spacing w:after="120"/>
        <w:ind w:right="-180"/>
        <w:rPr>
          <w:lang w:val="en-GB"/>
        </w:rPr>
      </w:pPr>
      <w:r>
        <w:rPr>
          <w:lang w:val="en-GB"/>
        </w:rPr>
        <w:t xml:space="preserve">Despite of registration requirement and regulatory agency, the non-universal segment is largely open with low entry barriers. The role of the regulator is limited to establishment of standards of services and guaranteeing minimum quality of the services, which actually in beneficial for the market and the companies with long term and strategic vision for the </w:t>
      </w:r>
      <w:r w:rsidR="00030C77">
        <w:rPr>
          <w:lang w:val="en-GB"/>
        </w:rPr>
        <w:t>business.</w:t>
      </w:r>
    </w:p>
    <w:p w:rsidR="00030C77" w:rsidRDefault="00030C77" w:rsidP="00A97C9B">
      <w:pPr>
        <w:pStyle w:val="BodyText"/>
        <w:spacing w:after="120"/>
        <w:ind w:right="-180"/>
        <w:rPr>
          <w:lang w:val="en-GB"/>
        </w:rPr>
      </w:pPr>
      <w:r>
        <w:rPr>
          <w:lang w:val="en-GB"/>
        </w:rPr>
        <w:t xml:space="preserve">According to the official annual report for 2013 of the </w:t>
      </w:r>
      <w:r w:rsidRPr="00030C77">
        <w:rPr>
          <w:lang w:val="en-GB"/>
        </w:rPr>
        <w:t>Communications Regulation Commission</w:t>
      </w:r>
      <w:r>
        <w:rPr>
          <w:lang w:val="en-GB"/>
        </w:rPr>
        <w:t xml:space="preserve">, Bulgarian market of postal services amounts to BGN 258m, incl. BGN 209m from courier services. The market is gradually recovering and in </w:t>
      </w:r>
      <w:proofErr w:type="gramStart"/>
      <w:r>
        <w:rPr>
          <w:lang w:val="en-GB"/>
        </w:rPr>
        <w:t>2012</w:t>
      </w:r>
      <w:proofErr w:type="gramEnd"/>
      <w:r>
        <w:rPr>
          <w:lang w:val="en-GB"/>
        </w:rPr>
        <w:t xml:space="preserve"> its size returned to its peak in 2008.</w:t>
      </w:r>
      <w:r w:rsidR="00E375A0">
        <w:rPr>
          <w:lang w:val="en-GB"/>
        </w:rPr>
        <w:t xml:space="preserve"> The main contributors are courier </w:t>
      </w:r>
      <w:proofErr w:type="gramStart"/>
      <w:r w:rsidR="00E375A0">
        <w:rPr>
          <w:lang w:val="en-GB"/>
        </w:rPr>
        <w:t>services which</w:t>
      </w:r>
      <w:proofErr w:type="gramEnd"/>
      <w:r w:rsidR="00E375A0">
        <w:rPr>
          <w:lang w:val="en-GB"/>
        </w:rPr>
        <w:t xml:space="preserve"> comprise 65% of the market and are the fastest growing segment.</w:t>
      </w:r>
    </w:p>
    <w:p w:rsidR="00E375A0" w:rsidRPr="00E375A0" w:rsidRDefault="00E375A0" w:rsidP="00E375A0">
      <w:pPr>
        <w:pStyle w:val="BodyText"/>
        <w:spacing w:after="120"/>
        <w:ind w:right="-180"/>
        <w:rPr>
          <w:lang w:val="en-GB"/>
        </w:rPr>
      </w:pPr>
      <w:r w:rsidRPr="00E375A0">
        <w:rPr>
          <w:lang w:val="en-GB"/>
        </w:rPr>
        <w:t>In the niche where “Speedy” operates (</w:t>
      </w:r>
      <w:r>
        <w:rPr>
          <w:lang w:val="en-GB"/>
        </w:rPr>
        <w:t>l</w:t>
      </w:r>
      <w:r w:rsidRPr="00E375A0">
        <w:rPr>
          <w:lang w:val="en-GB"/>
        </w:rPr>
        <w:t xml:space="preserve">arge parcels and corporate customers), the competition is less intensive and the other companies with identical focus are considerably smaller. In the medium term, no </w:t>
      </w:r>
      <w:r>
        <w:rPr>
          <w:lang w:val="en-GB"/>
        </w:rPr>
        <w:t>significant</w:t>
      </w:r>
      <w:r w:rsidRPr="00E375A0">
        <w:rPr>
          <w:lang w:val="en-GB"/>
        </w:rPr>
        <w:t xml:space="preserve"> change</w:t>
      </w:r>
      <w:r>
        <w:rPr>
          <w:lang w:val="en-GB"/>
        </w:rPr>
        <w:t>s</w:t>
      </w:r>
      <w:r w:rsidRPr="00E375A0">
        <w:rPr>
          <w:lang w:val="en-GB"/>
        </w:rPr>
        <w:t xml:space="preserve"> in the </w:t>
      </w:r>
      <w:r>
        <w:rPr>
          <w:lang w:val="en-GB"/>
        </w:rPr>
        <w:t xml:space="preserve">area </w:t>
      </w:r>
      <w:proofErr w:type="gramStart"/>
      <w:r>
        <w:rPr>
          <w:lang w:val="en-GB"/>
        </w:rPr>
        <w:t>are</w:t>
      </w:r>
      <w:r w:rsidRPr="00E375A0">
        <w:rPr>
          <w:lang w:val="en-GB"/>
        </w:rPr>
        <w:t xml:space="preserve"> expected</w:t>
      </w:r>
      <w:proofErr w:type="gramEnd"/>
      <w:r w:rsidRPr="00E375A0">
        <w:rPr>
          <w:lang w:val="en-GB"/>
        </w:rPr>
        <w:t xml:space="preserve"> as the main competitors are </w:t>
      </w:r>
      <w:r>
        <w:rPr>
          <w:lang w:val="en-GB"/>
        </w:rPr>
        <w:t>targeting</w:t>
      </w:r>
      <w:r w:rsidRPr="00E375A0">
        <w:rPr>
          <w:lang w:val="en-GB"/>
        </w:rPr>
        <w:t xml:space="preserve"> other market niches.</w:t>
      </w:r>
    </w:p>
    <w:p w:rsidR="00E375A0" w:rsidRPr="00CC4D0E" w:rsidRDefault="00E375A0" w:rsidP="00E375A0">
      <w:pPr>
        <w:pStyle w:val="BodyText"/>
        <w:spacing w:after="120"/>
        <w:ind w:right="-180"/>
        <w:rPr>
          <w:lang w:val="en-US"/>
        </w:rPr>
      </w:pPr>
      <w:r w:rsidRPr="00CC4D0E">
        <w:rPr>
          <w:lang w:val="en-US"/>
        </w:rPr>
        <w:t xml:space="preserve">There is no official statistics </w:t>
      </w:r>
      <w:r>
        <w:rPr>
          <w:lang w:val="en-US"/>
        </w:rPr>
        <w:t>for</w:t>
      </w:r>
      <w:r w:rsidRPr="00CC4D0E">
        <w:rPr>
          <w:lang w:val="en-US"/>
        </w:rPr>
        <w:t xml:space="preserve"> the market in Romania. Based on management’s estimates, the total </w:t>
      </w:r>
      <w:r>
        <w:rPr>
          <w:lang w:val="en-US"/>
        </w:rPr>
        <w:t>size</w:t>
      </w:r>
      <w:r w:rsidRPr="00CC4D0E">
        <w:rPr>
          <w:lang w:val="en-US"/>
        </w:rPr>
        <w:t xml:space="preserve"> of the postal services market is considerably bigger </w:t>
      </w:r>
      <w:proofErr w:type="gramStart"/>
      <w:r w:rsidRPr="00CC4D0E">
        <w:rPr>
          <w:lang w:val="en-US"/>
        </w:rPr>
        <w:t>than the Bulgarian, exceeding BGN 1 </w:t>
      </w:r>
      <w:r>
        <w:rPr>
          <w:lang w:val="en-US"/>
        </w:rPr>
        <w:t>bn</w:t>
      </w:r>
      <w:r w:rsidRPr="00CC4D0E">
        <w:rPr>
          <w:lang w:val="en-US"/>
        </w:rPr>
        <w:t>.</w:t>
      </w:r>
      <w:proofErr w:type="gramEnd"/>
      <w:r w:rsidRPr="00CC4D0E">
        <w:rPr>
          <w:lang w:val="en-US"/>
        </w:rPr>
        <w:t xml:space="preserve"> The biggest market player is </w:t>
      </w:r>
      <w:r>
        <w:rPr>
          <w:lang w:val="en-US"/>
        </w:rPr>
        <w:t xml:space="preserve">the </w:t>
      </w:r>
      <w:r w:rsidRPr="00CC4D0E">
        <w:rPr>
          <w:lang w:val="en-US"/>
        </w:rPr>
        <w:t xml:space="preserve">Romanian posts with about 37 % market share. The leader in the courier services segment is Fan courier with over 20 % market share. The </w:t>
      </w:r>
      <w:r>
        <w:rPr>
          <w:lang w:val="en-US"/>
        </w:rPr>
        <w:t>international</w:t>
      </w:r>
      <w:r w:rsidRPr="00CC4D0E">
        <w:rPr>
          <w:lang w:val="en-US"/>
        </w:rPr>
        <w:t xml:space="preserve"> parcels constitute a considerable part of the courier services and three of the </w:t>
      </w:r>
      <w:r>
        <w:rPr>
          <w:lang w:val="en-US"/>
        </w:rPr>
        <w:t xml:space="preserve">top </w:t>
      </w:r>
      <w:r w:rsidRPr="00CC4D0E">
        <w:rPr>
          <w:lang w:val="en-US"/>
        </w:rPr>
        <w:t xml:space="preserve">five courier companies - DHL, TNT and UPS – operate exclusively on the </w:t>
      </w:r>
      <w:r>
        <w:rPr>
          <w:lang w:val="en-US"/>
        </w:rPr>
        <w:t>international</w:t>
      </w:r>
      <w:r w:rsidRPr="00CC4D0E">
        <w:rPr>
          <w:lang w:val="en-US"/>
        </w:rPr>
        <w:t xml:space="preserve"> market.</w:t>
      </w:r>
    </w:p>
    <w:p w:rsidR="00E375A0" w:rsidRPr="00CC4D0E" w:rsidRDefault="00E375A0" w:rsidP="00E375A0">
      <w:pPr>
        <w:pStyle w:val="BodyText"/>
        <w:spacing w:after="120"/>
        <w:ind w:right="-180"/>
        <w:rPr>
          <w:lang w:val="en-US"/>
        </w:rPr>
      </w:pPr>
      <w:r w:rsidRPr="00CC4D0E">
        <w:rPr>
          <w:lang w:val="en-US"/>
        </w:rPr>
        <w:t xml:space="preserve">During the last two </w:t>
      </w:r>
      <w:proofErr w:type="gramStart"/>
      <w:r w:rsidRPr="00CC4D0E">
        <w:rPr>
          <w:lang w:val="en-US"/>
        </w:rPr>
        <w:t>years</w:t>
      </w:r>
      <w:proofErr w:type="gramEnd"/>
      <w:r w:rsidRPr="00CC4D0E">
        <w:rPr>
          <w:lang w:val="en-US"/>
        </w:rPr>
        <w:t xml:space="preserve"> the Romanian economy is </w:t>
      </w:r>
      <w:r>
        <w:rPr>
          <w:lang w:val="en-US"/>
        </w:rPr>
        <w:t>among the fastest growing</w:t>
      </w:r>
      <w:r w:rsidRPr="00CC4D0E">
        <w:rPr>
          <w:lang w:val="en-US"/>
        </w:rPr>
        <w:t xml:space="preserve"> in Europe and, respectively, the expectations about the development of the courier services market are to develop with rates above the EU average.</w:t>
      </w:r>
    </w:p>
    <w:p w:rsidR="00D415BF" w:rsidRPr="00746EDE" w:rsidRDefault="00D415BF" w:rsidP="00597601">
      <w:pPr>
        <w:pStyle w:val="BodyText"/>
        <w:spacing w:line="288" w:lineRule="auto"/>
        <w:rPr>
          <w:b/>
          <w:lang w:val="en-GB"/>
        </w:rPr>
      </w:pPr>
    </w:p>
    <w:p w:rsidR="002870D7" w:rsidRPr="00CC4D0E" w:rsidRDefault="00E14474" w:rsidP="002870D7">
      <w:pPr>
        <w:widowControl w:val="0"/>
        <w:autoSpaceDE w:val="0"/>
        <w:autoSpaceDN w:val="0"/>
        <w:adjustRightInd w:val="0"/>
        <w:jc w:val="both"/>
        <w:rPr>
          <w:b/>
          <w:bCs/>
          <w:lang w:val="en-US"/>
        </w:rPr>
      </w:pPr>
      <w:r w:rsidRPr="00746EDE">
        <w:rPr>
          <w:b/>
        </w:rPr>
        <w:br w:type="page"/>
      </w:r>
      <w:r w:rsidR="002870D7" w:rsidRPr="00CC4D0E">
        <w:rPr>
          <w:b/>
          <w:bCs/>
          <w:lang w:val="en-US"/>
        </w:rPr>
        <w:lastRenderedPageBreak/>
        <w:t>III. Information about transactio</w:t>
      </w:r>
      <w:r w:rsidR="002870D7">
        <w:rPr>
          <w:b/>
          <w:bCs/>
          <w:lang w:val="en-US"/>
        </w:rPr>
        <w:t>ns with own shares under art.</w:t>
      </w:r>
      <w:r w:rsidR="002870D7" w:rsidRPr="00CC4D0E">
        <w:rPr>
          <w:b/>
          <w:bCs/>
          <w:lang w:val="en-US"/>
        </w:rPr>
        <w:t xml:space="preserve"> 187e of the Commercial Act</w:t>
      </w:r>
    </w:p>
    <w:p w:rsidR="002870D7" w:rsidRDefault="002870D7" w:rsidP="002870D7">
      <w:pPr>
        <w:pStyle w:val="BodyText"/>
        <w:spacing w:after="120"/>
        <w:ind w:right="-180"/>
        <w:rPr>
          <w:lang w:val="en-US"/>
        </w:rPr>
      </w:pPr>
      <w:r w:rsidRPr="00CC4D0E">
        <w:rPr>
          <w:lang w:val="en-US"/>
        </w:rPr>
        <w:t xml:space="preserve">The company has not </w:t>
      </w:r>
      <w:r>
        <w:rPr>
          <w:lang w:val="en-US"/>
        </w:rPr>
        <w:t xml:space="preserve">traded in with </w:t>
      </w:r>
      <w:r w:rsidRPr="00CC4D0E">
        <w:rPr>
          <w:lang w:val="en-US"/>
        </w:rPr>
        <w:t>own shares.</w:t>
      </w:r>
    </w:p>
    <w:p w:rsidR="002870D7" w:rsidRPr="00CC4D0E" w:rsidRDefault="002870D7" w:rsidP="002870D7">
      <w:pPr>
        <w:pStyle w:val="BodyText"/>
        <w:spacing w:after="120"/>
        <w:ind w:right="-180"/>
        <w:rPr>
          <w:lang w:val="en-US"/>
        </w:rPr>
      </w:pPr>
    </w:p>
    <w:p w:rsidR="002870D7" w:rsidRPr="00CC4D0E" w:rsidRDefault="002870D7" w:rsidP="002870D7">
      <w:pPr>
        <w:widowControl w:val="0"/>
        <w:autoSpaceDE w:val="0"/>
        <w:autoSpaceDN w:val="0"/>
        <w:adjustRightInd w:val="0"/>
        <w:jc w:val="both"/>
        <w:rPr>
          <w:b/>
          <w:bCs/>
          <w:lang w:val="en-US"/>
        </w:rPr>
      </w:pPr>
      <w:r w:rsidRPr="00CC4D0E">
        <w:rPr>
          <w:b/>
          <w:bCs/>
          <w:lang w:val="en-US"/>
        </w:rPr>
        <w:t xml:space="preserve">IV. Participation of </w:t>
      </w:r>
      <w:r>
        <w:rPr>
          <w:b/>
          <w:bCs/>
          <w:lang w:val="en-US"/>
        </w:rPr>
        <w:t xml:space="preserve">the </w:t>
      </w:r>
      <w:r w:rsidRPr="00CC4D0E">
        <w:rPr>
          <w:b/>
          <w:bCs/>
          <w:lang w:val="en-US"/>
        </w:rPr>
        <w:t xml:space="preserve">board members in commercial companies as unlimited </w:t>
      </w:r>
      <w:r>
        <w:rPr>
          <w:b/>
          <w:bCs/>
          <w:lang w:val="en-US"/>
        </w:rPr>
        <w:t xml:space="preserve">liability </w:t>
      </w:r>
      <w:r w:rsidRPr="00CC4D0E">
        <w:rPr>
          <w:b/>
          <w:bCs/>
          <w:lang w:val="en-US"/>
        </w:rPr>
        <w:t xml:space="preserve">partners, </w:t>
      </w:r>
      <w:r>
        <w:rPr>
          <w:b/>
          <w:bCs/>
          <w:lang w:val="en-US"/>
        </w:rPr>
        <w:t>ownership</w:t>
      </w:r>
      <w:r w:rsidRPr="00CC4D0E">
        <w:rPr>
          <w:b/>
          <w:bCs/>
          <w:lang w:val="en-US"/>
        </w:rPr>
        <w:t xml:space="preserve"> of more than 25 percent of the capital of another company, as well as their participation in the management of other companies or cooperatives as procurators, managing directors or board members</w:t>
      </w:r>
    </w:p>
    <w:p w:rsidR="002870D7" w:rsidRPr="00CC4D0E" w:rsidRDefault="002870D7" w:rsidP="002870D7">
      <w:pPr>
        <w:pStyle w:val="BodyText"/>
        <w:spacing w:line="288" w:lineRule="auto"/>
        <w:rPr>
          <w:lang w:val="en-US"/>
        </w:rPr>
      </w:pPr>
      <w:r w:rsidRPr="00CC4D0E">
        <w:rPr>
          <w:lang w:val="en-US"/>
        </w:rPr>
        <w:t>There are no changes during the reporting period.</w:t>
      </w:r>
    </w:p>
    <w:p w:rsidR="008B0216" w:rsidRPr="00746EDE" w:rsidRDefault="008B0216" w:rsidP="002870D7">
      <w:pPr>
        <w:widowControl w:val="0"/>
        <w:autoSpaceDE w:val="0"/>
        <w:autoSpaceDN w:val="0"/>
        <w:adjustRightInd w:val="0"/>
        <w:jc w:val="both"/>
      </w:pPr>
    </w:p>
    <w:p w:rsidR="00B5275D" w:rsidRPr="00CC4D0E" w:rsidRDefault="00B5275D" w:rsidP="00B5275D">
      <w:pPr>
        <w:widowControl w:val="0"/>
        <w:autoSpaceDE w:val="0"/>
        <w:autoSpaceDN w:val="0"/>
        <w:adjustRightInd w:val="0"/>
        <w:spacing w:line="288" w:lineRule="auto"/>
        <w:jc w:val="both"/>
        <w:rPr>
          <w:b/>
          <w:lang w:val="en-US"/>
        </w:rPr>
      </w:pPr>
      <w:r w:rsidRPr="00CC4D0E">
        <w:rPr>
          <w:b/>
          <w:lang w:val="en-US"/>
        </w:rPr>
        <w:t>INSIDE</w:t>
      </w:r>
      <w:r>
        <w:rPr>
          <w:b/>
          <w:lang w:val="en-US"/>
        </w:rPr>
        <w:t>R</w:t>
      </w:r>
      <w:r w:rsidRPr="00CC4D0E">
        <w:rPr>
          <w:b/>
          <w:lang w:val="en-US"/>
        </w:rPr>
        <w:t xml:space="preserve"> INFORMATION re</w:t>
      </w:r>
      <w:r>
        <w:rPr>
          <w:b/>
          <w:lang w:val="en-US"/>
        </w:rPr>
        <w:t>garding events, occurred</w:t>
      </w:r>
      <w:r w:rsidRPr="00CC4D0E">
        <w:rPr>
          <w:b/>
          <w:lang w:val="en-US"/>
        </w:rPr>
        <w:t xml:space="preserve"> during the past quarter</w:t>
      </w:r>
    </w:p>
    <w:p w:rsidR="00B5275D" w:rsidRPr="00CC4D0E" w:rsidRDefault="00B5275D" w:rsidP="00B5275D">
      <w:pPr>
        <w:widowControl w:val="0"/>
        <w:autoSpaceDE w:val="0"/>
        <w:autoSpaceDN w:val="0"/>
        <w:adjustRightInd w:val="0"/>
        <w:spacing w:line="288" w:lineRule="auto"/>
        <w:jc w:val="both"/>
        <w:rPr>
          <w:b/>
          <w:lang w:val="en-US"/>
        </w:rPr>
      </w:pPr>
    </w:p>
    <w:p w:rsidR="00B5275D" w:rsidRPr="00CC4D0E" w:rsidRDefault="00B5275D" w:rsidP="00B5275D">
      <w:pPr>
        <w:widowControl w:val="0"/>
        <w:autoSpaceDE w:val="0"/>
        <w:autoSpaceDN w:val="0"/>
        <w:adjustRightInd w:val="0"/>
        <w:jc w:val="both"/>
        <w:rPr>
          <w:b/>
          <w:lang w:val="en-US"/>
        </w:rPr>
      </w:pPr>
      <w:r w:rsidRPr="00CC4D0E">
        <w:rPr>
          <w:b/>
          <w:bCs/>
          <w:lang w:val="en-US"/>
        </w:rPr>
        <w:t xml:space="preserve">As </w:t>
      </w:r>
      <w:r>
        <w:rPr>
          <w:b/>
          <w:bCs/>
          <w:lang w:val="en-US"/>
        </w:rPr>
        <w:t>of</w:t>
      </w:r>
      <w:r w:rsidRPr="00CC4D0E">
        <w:rPr>
          <w:b/>
          <w:bCs/>
          <w:lang w:val="en-US"/>
        </w:rPr>
        <w:t xml:space="preserve"> 3</w:t>
      </w:r>
      <w:r>
        <w:rPr>
          <w:b/>
          <w:bCs/>
          <w:lang w:val="en-US"/>
        </w:rPr>
        <w:t>0</w:t>
      </w:r>
      <w:r w:rsidRPr="00CC4D0E">
        <w:rPr>
          <w:b/>
          <w:bCs/>
          <w:lang w:val="en-US"/>
        </w:rPr>
        <w:t xml:space="preserve"> </w:t>
      </w:r>
      <w:r>
        <w:rPr>
          <w:b/>
          <w:bCs/>
          <w:lang w:val="en-US"/>
        </w:rPr>
        <w:t>June</w:t>
      </w:r>
      <w:r w:rsidRPr="00CC4D0E">
        <w:rPr>
          <w:b/>
          <w:bCs/>
          <w:lang w:val="en-US"/>
        </w:rPr>
        <w:t xml:space="preserve"> 201</w:t>
      </w:r>
      <w:r>
        <w:rPr>
          <w:b/>
          <w:bCs/>
          <w:lang w:val="en-US"/>
        </w:rPr>
        <w:t>5</w:t>
      </w:r>
      <w:r w:rsidRPr="00CC4D0E">
        <w:rPr>
          <w:b/>
          <w:bCs/>
          <w:lang w:val="en-US"/>
        </w:rPr>
        <w:t>, there is no other inside</w:t>
      </w:r>
      <w:r>
        <w:rPr>
          <w:b/>
          <w:bCs/>
          <w:lang w:val="en-US"/>
        </w:rPr>
        <w:t>r</w:t>
      </w:r>
      <w:r w:rsidRPr="00CC4D0E">
        <w:rPr>
          <w:b/>
          <w:bCs/>
          <w:lang w:val="en-US"/>
        </w:rPr>
        <w:t xml:space="preserve"> information, except the </w:t>
      </w:r>
      <w:r>
        <w:rPr>
          <w:b/>
          <w:bCs/>
          <w:lang w:val="en-US"/>
        </w:rPr>
        <w:t>already disclosed one, necessary for</w:t>
      </w:r>
      <w:r w:rsidRPr="00CC4D0E">
        <w:rPr>
          <w:b/>
          <w:bCs/>
          <w:lang w:val="en-US"/>
        </w:rPr>
        <w:t xml:space="preserve"> the shareholders </w:t>
      </w:r>
      <w:r>
        <w:rPr>
          <w:b/>
          <w:bCs/>
          <w:lang w:val="en-US"/>
        </w:rPr>
        <w:t>to</w:t>
      </w:r>
      <w:r w:rsidRPr="00CC4D0E">
        <w:rPr>
          <w:b/>
          <w:bCs/>
          <w:lang w:val="en-US"/>
        </w:rPr>
        <w:t xml:space="preserve"> </w:t>
      </w:r>
      <w:r>
        <w:rPr>
          <w:b/>
          <w:bCs/>
          <w:lang w:val="en-US"/>
        </w:rPr>
        <w:t>take</w:t>
      </w:r>
      <w:r w:rsidRPr="00CC4D0E">
        <w:rPr>
          <w:b/>
          <w:bCs/>
          <w:lang w:val="en-US"/>
        </w:rPr>
        <w:t xml:space="preserve"> investment decision regarding the shares </w:t>
      </w:r>
      <w:r>
        <w:rPr>
          <w:b/>
          <w:bCs/>
          <w:lang w:val="en-US"/>
        </w:rPr>
        <w:t>of</w:t>
      </w:r>
      <w:r w:rsidRPr="00CC4D0E">
        <w:rPr>
          <w:b/>
          <w:bCs/>
          <w:lang w:val="en-US"/>
        </w:rPr>
        <w:t xml:space="preserve"> the public company</w:t>
      </w:r>
      <w:r w:rsidRPr="00CC4D0E">
        <w:rPr>
          <w:b/>
          <w:lang w:val="en-US"/>
        </w:rPr>
        <w:t>.</w:t>
      </w:r>
    </w:p>
    <w:p w:rsidR="00B0531B" w:rsidRPr="00746EDE" w:rsidRDefault="00B0531B" w:rsidP="004E69FB">
      <w:pPr>
        <w:widowControl w:val="0"/>
        <w:autoSpaceDE w:val="0"/>
        <w:autoSpaceDN w:val="0"/>
        <w:adjustRightInd w:val="0"/>
        <w:spacing w:line="288" w:lineRule="auto"/>
        <w:jc w:val="both"/>
        <w:rPr>
          <w:b/>
        </w:rPr>
      </w:pPr>
    </w:p>
    <w:p w:rsidR="00B0531B" w:rsidRPr="00746EDE" w:rsidRDefault="00B0531B" w:rsidP="004E69FB">
      <w:pPr>
        <w:widowControl w:val="0"/>
        <w:autoSpaceDE w:val="0"/>
        <w:autoSpaceDN w:val="0"/>
        <w:adjustRightInd w:val="0"/>
        <w:spacing w:line="288" w:lineRule="auto"/>
        <w:jc w:val="both"/>
        <w:rPr>
          <w:b/>
        </w:rPr>
      </w:pPr>
    </w:p>
    <w:p w:rsidR="00B5275D" w:rsidRPr="00CC4D0E" w:rsidRDefault="00B5275D" w:rsidP="00B5275D">
      <w:pPr>
        <w:widowControl w:val="0"/>
        <w:autoSpaceDE w:val="0"/>
        <w:autoSpaceDN w:val="0"/>
        <w:adjustRightInd w:val="0"/>
        <w:spacing w:line="288" w:lineRule="auto"/>
        <w:jc w:val="both"/>
        <w:rPr>
          <w:b/>
          <w:lang w:val="en-US"/>
        </w:rPr>
      </w:pPr>
      <w:r w:rsidRPr="00CC4D0E">
        <w:rPr>
          <w:b/>
          <w:lang w:val="en-US"/>
        </w:rPr>
        <w:t>ADDITIONAL INFORMATION</w:t>
      </w:r>
    </w:p>
    <w:p w:rsidR="00B5275D" w:rsidRPr="00CC4D0E" w:rsidRDefault="00B5275D" w:rsidP="00B5275D">
      <w:pPr>
        <w:widowControl w:val="0"/>
        <w:autoSpaceDE w:val="0"/>
        <w:autoSpaceDN w:val="0"/>
        <w:adjustRightInd w:val="0"/>
        <w:spacing w:line="288" w:lineRule="auto"/>
        <w:jc w:val="both"/>
        <w:rPr>
          <w:lang w:val="en-US"/>
        </w:rPr>
      </w:pPr>
      <w:r w:rsidRPr="00CC4D0E">
        <w:rPr>
          <w:lang w:val="en-US"/>
        </w:rPr>
        <w:t xml:space="preserve">1. </w:t>
      </w:r>
      <w:r w:rsidRPr="00CC4D0E">
        <w:rPr>
          <w:b/>
          <w:lang w:val="en-US"/>
        </w:rPr>
        <w:t>Information about the changes in the accounting policy during the reporting period</w:t>
      </w:r>
      <w:r w:rsidRPr="00CC4D0E">
        <w:rPr>
          <w:lang w:val="en-US"/>
        </w:rPr>
        <w:t xml:space="preserve"> </w:t>
      </w:r>
    </w:p>
    <w:p w:rsidR="00B5275D" w:rsidRPr="00CC4D0E" w:rsidRDefault="00B5275D" w:rsidP="00B5275D">
      <w:pPr>
        <w:widowControl w:val="0"/>
        <w:autoSpaceDE w:val="0"/>
        <w:autoSpaceDN w:val="0"/>
        <w:adjustRightInd w:val="0"/>
        <w:spacing w:line="288" w:lineRule="auto"/>
        <w:jc w:val="both"/>
        <w:rPr>
          <w:lang w:val="en-US"/>
        </w:rPr>
      </w:pPr>
      <w:r w:rsidRPr="00CC4D0E">
        <w:rPr>
          <w:lang w:val="en-US"/>
        </w:rPr>
        <w:t>During the reporting period, there are no changes in the accounting policy of “Speedy</w:t>
      </w:r>
      <w:proofErr w:type="gramStart"/>
      <w:r w:rsidRPr="00CC4D0E">
        <w:rPr>
          <w:lang w:val="en-US"/>
        </w:rPr>
        <w:t>“ AD</w:t>
      </w:r>
      <w:proofErr w:type="gramEnd"/>
      <w:r w:rsidRPr="00CC4D0E">
        <w:rPr>
          <w:lang w:val="en-US"/>
        </w:rPr>
        <w:t>.</w:t>
      </w:r>
    </w:p>
    <w:p w:rsidR="000248E1" w:rsidRPr="00746EDE" w:rsidRDefault="000248E1" w:rsidP="004E69FB">
      <w:pPr>
        <w:widowControl w:val="0"/>
        <w:autoSpaceDE w:val="0"/>
        <w:autoSpaceDN w:val="0"/>
        <w:adjustRightInd w:val="0"/>
        <w:spacing w:line="288" w:lineRule="auto"/>
        <w:jc w:val="both"/>
      </w:pPr>
    </w:p>
    <w:p w:rsidR="00873C88" w:rsidRPr="00CC4D0E" w:rsidRDefault="00873C88" w:rsidP="00873C88">
      <w:pPr>
        <w:widowControl w:val="0"/>
        <w:autoSpaceDE w:val="0"/>
        <w:autoSpaceDN w:val="0"/>
        <w:adjustRightInd w:val="0"/>
        <w:spacing w:line="288" w:lineRule="auto"/>
        <w:jc w:val="both"/>
        <w:rPr>
          <w:i/>
          <w:lang w:val="en-US"/>
        </w:rPr>
      </w:pPr>
      <w:r w:rsidRPr="00CC4D0E">
        <w:rPr>
          <w:b/>
          <w:lang w:val="en-US"/>
        </w:rPr>
        <w:t xml:space="preserve">2. Information about </w:t>
      </w:r>
      <w:r>
        <w:rPr>
          <w:b/>
          <w:lang w:val="en-US"/>
        </w:rPr>
        <w:t>business combinations</w:t>
      </w:r>
      <w:r w:rsidRPr="00CC4D0E">
        <w:rPr>
          <w:b/>
          <w:lang w:val="en-US"/>
        </w:rPr>
        <w:t xml:space="preserve"> in the group of “Speedy</w:t>
      </w:r>
      <w:proofErr w:type="gramStart"/>
      <w:r w:rsidRPr="00CC4D0E">
        <w:rPr>
          <w:b/>
          <w:lang w:val="en-US"/>
        </w:rPr>
        <w:t>“ AD</w:t>
      </w:r>
      <w:proofErr w:type="gramEnd"/>
      <w:r w:rsidRPr="00CC4D0E">
        <w:rPr>
          <w:lang w:val="en-US"/>
        </w:rPr>
        <w:t xml:space="preserve"> </w:t>
      </w:r>
    </w:p>
    <w:p w:rsidR="00873C88" w:rsidRPr="00CC4D0E" w:rsidRDefault="00873C88" w:rsidP="00873C88">
      <w:pPr>
        <w:widowControl w:val="0"/>
        <w:autoSpaceDE w:val="0"/>
        <w:autoSpaceDN w:val="0"/>
        <w:adjustRightInd w:val="0"/>
        <w:spacing w:line="288" w:lineRule="auto"/>
        <w:jc w:val="both"/>
        <w:rPr>
          <w:lang w:val="en-US"/>
        </w:rPr>
      </w:pPr>
      <w:r w:rsidRPr="00CC4D0E">
        <w:rPr>
          <w:lang w:val="en-US"/>
        </w:rPr>
        <w:t>No changes in the group</w:t>
      </w:r>
      <w:r w:rsidRPr="00145E55">
        <w:rPr>
          <w:lang w:val="en-US"/>
        </w:rPr>
        <w:t xml:space="preserve"> </w:t>
      </w:r>
      <w:r>
        <w:rPr>
          <w:lang w:val="en-US"/>
        </w:rPr>
        <w:t xml:space="preserve">has </w:t>
      </w:r>
      <w:r w:rsidRPr="00CC4D0E">
        <w:rPr>
          <w:lang w:val="en-US"/>
        </w:rPr>
        <w:t>occurred.</w:t>
      </w:r>
    </w:p>
    <w:p w:rsidR="00B9123C" w:rsidRPr="00746EDE" w:rsidRDefault="00B9123C" w:rsidP="00302B06">
      <w:pPr>
        <w:widowControl w:val="0"/>
        <w:autoSpaceDE w:val="0"/>
        <w:autoSpaceDN w:val="0"/>
        <w:adjustRightInd w:val="0"/>
        <w:spacing w:line="288" w:lineRule="auto"/>
        <w:jc w:val="both"/>
      </w:pPr>
    </w:p>
    <w:p w:rsidR="0022640E" w:rsidRPr="00CC4D0E" w:rsidRDefault="0022640E" w:rsidP="0022640E">
      <w:pPr>
        <w:widowControl w:val="0"/>
        <w:autoSpaceDE w:val="0"/>
        <w:autoSpaceDN w:val="0"/>
        <w:adjustRightInd w:val="0"/>
        <w:spacing w:line="288" w:lineRule="auto"/>
        <w:jc w:val="both"/>
        <w:rPr>
          <w:i/>
          <w:lang w:val="en-US"/>
        </w:rPr>
      </w:pPr>
      <w:r w:rsidRPr="00CC4D0E">
        <w:rPr>
          <w:b/>
          <w:lang w:val="en-US"/>
        </w:rPr>
        <w:t>3. Information about the results from the organization</w:t>
      </w:r>
      <w:r>
        <w:rPr>
          <w:b/>
          <w:lang w:val="en-US"/>
        </w:rPr>
        <w:t>al</w:t>
      </w:r>
      <w:r w:rsidRPr="00CC4D0E">
        <w:rPr>
          <w:b/>
          <w:lang w:val="en-US"/>
        </w:rPr>
        <w:t xml:space="preserve"> changes </w:t>
      </w:r>
      <w:r>
        <w:rPr>
          <w:b/>
          <w:lang w:val="en-US"/>
        </w:rPr>
        <w:t>in</w:t>
      </w:r>
      <w:r w:rsidRPr="00CC4D0E">
        <w:rPr>
          <w:b/>
          <w:lang w:val="en-US"/>
        </w:rPr>
        <w:t xml:space="preserve"> “Speedy“ AD</w:t>
      </w:r>
      <w:r w:rsidRPr="00CC4D0E">
        <w:rPr>
          <w:lang w:val="en-US"/>
        </w:rPr>
        <w:t xml:space="preserve"> /</w:t>
      </w:r>
      <w:r w:rsidRPr="00CC4D0E">
        <w:rPr>
          <w:i/>
          <w:lang w:val="en-US"/>
        </w:rPr>
        <w:t xml:space="preserve">transformation, sale of companies of the economic group, </w:t>
      </w:r>
      <w:r>
        <w:rPr>
          <w:i/>
          <w:lang w:val="en-US"/>
        </w:rPr>
        <w:t>in-kind</w:t>
      </w:r>
      <w:r w:rsidRPr="00CC4D0E">
        <w:rPr>
          <w:i/>
          <w:lang w:val="en-US"/>
        </w:rPr>
        <w:t xml:space="preserve"> contributions by the company, renting out of property, long-term investments, discontinuing of activity/</w:t>
      </w:r>
    </w:p>
    <w:p w:rsidR="0022640E" w:rsidRPr="00CC4D0E" w:rsidRDefault="0022640E" w:rsidP="0022640E">
      <w:pPr>
        <w:widowControl w:val="0"/>
        <w:autoSpaceDE w:val="0"/>
        <w:autoSpaceDN w:val="0"/>
        <w:adjustRightInd w:val="0"/>
        <w:spacing w:line="288" w:lineRule="auto"/>
        <w:jc w:val="both"/>
        <w:rPr>
          <w:lang w:val="en-US"/>
        </w:rPr>
      </w:pPr>
      <w:r w:rsidRPr="00CC4D0E">
        <w:rPr>
          <w:lang w:val="en-US"/>
        </w:rPr>
        <w:t xml:space="preserve">There are no organization changes, which </w:t>
      </w:r>
      <w:proofErr w:type="gramStart"/>
      <w:r w:rsidRPr="00CC4D0E">
        <w:rPr>
          <w:lang w:val="en-US"/>
        </w:rPr>
        <w:t xml:space="preserve">are not </w:t>
      </w:r>
      <w:r>
        <w:rPr>
          <w:lang w:val="en-US"/>
        </w:rPr>
        <w:t>disclosed</w:t>
      </w:r>
      <w:proofErr w:type="gramEnd"/>
      <w:r w:rsidRPr="00CC4D0E">
        <w:rPr>
          <w:lang w:val="en-US"/>
        </w:rPr>
        <w:t xml:space="preserve"> in this document.</w:t>
      </w:r>
    </w:p>
    <w:p w:rsidR="0022640E" w:rsidRPr="00CC4D0E" w:rsidRDefault="0022640E" w:rsidP="0022640E">
      <w:pPr>
        <w:widowControl w:val="0"/>
        <w:autoSpaceDE w:val="0"/>
        <w:autoSpaceDN w:val="0"/>
        <w:adjustRightInd w:val="0"/>
        <w:spacing w:line="288" w:lineRule="auto"/>
        <w:jc w:val="both"/>
        <w:rPr>
          <w:lang w:val="en-US"/>
        </w:rPr>
      </w:pPr>
    </w:p>
    <w:p w:rsidR="0022640E" w:rsidRPr="00CC4D0E" w:rsidRDefault="0022640E" w:rsidP="0022640E">
      <w:pPr>
        <w:widowControl w:val="0"/>
        <w:autoSpaceDE w:val="0"/>
        <w:autoSpaceDN w:val="0"/>
        <w:adjustRightInd w:val="0"/>
        <w:jc w:val="both"/>
        <w:rPr>
          <w:b/>
          <w:bCs/>
          <w:lang w:val="en-US"/>
        </w:rPr>
      </w:pPr>
      <w:r w:rsidRPr="00CC4D0E">
        <w:rPr>
          <w:b/>
          <w:bCs/>
          <w:lang w:val="en-US"/>
        </w:rPr>
        <w:t xml:space="preserve">4. </w:t>
      </w:r>
      <w:r>
        <w:rPr>
          <w:b/>
          <w:bCs/>
          <w:lang w:val="en-US"/>
        </w:rPr>
        <w:t>Management opinion</w:t>
      </w:r>
      <w:r w:rsidRPr="00CC4D0E">
        <w:rPr>
          <w:b/>
          <w:bCs/>
          <w:lang w:val="en-US"/>
        </w:rPr>
        <w:t xml:space="preserve"> regarding the </w:t>
      </w:r>
      <w:r>
        <w:rPr>
          <w:b/>
          <w:bCs/>
          <w:lang w:val="en-US"/>
        </w:rPr>
        <w:t>expectation to achieve the</w:t>
      </w:r>
      <w:r w:rsidRPr="00CC4D0E">
        <w:rPr>
          <w:b/>
          <w:bCs/>
          <w:lang w:val="en-US"/>
        </w:rPr>
        <w:t xml:space="preserve"> </w:t>
      </w:r>
      <w:r>
        <w:rPr>
          <w:b/>
          <w:bCs/>
          <w:lang w:val="en-US"/>
        </w:rPr>
        <w:t>announced</w:t>
      </w:r>
      <w:r w:rsidRPr="00CC4D0E">
        <w:rPr>
          <w:b/>
          <w:bCs/>
          <w:lang w:val="en-US"/>
        </w:rPr>
        <w:t xml:space="preserve"> </w:t>
      </w:r>
      <w:r>
        <w:rPr>
          <w:b/>
          <w:bCs/>
          <w:lang w:val="en-US"/>
        </w:rPr>
        <w:t xml:space="preserve">financial </w:t>
      </w:r>
      <w:r w:rsidRPr="00CC4D0E">
        <w:rPr>
          <w:b/>
          <w:bCs/>
          <w:lang w:val="en-US"/>
        </w:rPr>
        <w:t xml:space="preserve">forecasts </w:t>
      </w:r>
      <w:r>
        <w:rPr>
          <w:b/>
          <w:bCs/>
          <w:lang w:val="en-US"/>
        </w:rPr>
        <w:t>for</w:t>
      </w:r>
      <w:r w:rsidRPr="00CC4D0E">
        <w:rPr>
          <w:b/>
          <w:bCs/>
          <w:lang w:val="en-US"/>
        </w:rPr>
        <w:t xml:space="preserve"> the current financial year</w:t>
      </w:r>
    </w:p>
    <w:p w:rsidR="0022640E" w:rsidRPr="00CC4D0E" w:rsidRDefault="0022640E" w:rsidP="0022640E">
      <w:pPr>
        <w:widowControl w:val="0"/>
        <w:autoSpaceDE w:val="0"/>
        <w:autoSpaceDN w:val="0"/>
        <w:adjustRightInd w:val="0"/>
        <w:spacing w:line="288" w:lineRule="auto"/>
        <w:jc w:val="both"/>
        <w:rPr>
          <w:lang w:val="en-US"/>
        </w:rPr>
      </w:pPr>
      <w:r w:rsidRPr="00CC4D0E">
        <w:rPr>
          <w:lang w:val="en-US"/>
        </w:rPr>
        <w:t>The Board of Directors of “Speedy</w:t>
      </w:r>
      <w:proofErr w:type="gramStart"/>
      <w:r w:rsidRPr="00CC4D0E">
        <w:rPr>
          <w:lang w:val="en-US"/>
        </w:rPr>
        <w:t>“ AD</w:t>
      </w:r>
      <w:proofErr w:type="gramEnd"/>
      <w:r w:rsidRPr="00CC4D0E">
        <w:rPr>
          <w:lang w:val="en-US"/>
        </w:rPr>
        <w:t xml:space="preserve"> did not publish any forecasts </w:t>
      </w:r>
      <w:r>
        <w:rPr>
          <w:lang w:val="en-US"/>
        </w:rPr>
        <w:t>for</w:t>
      </w:r>
      <w:r w:rsidRPr="00CC4D0E">
        <w:rPr>
          <w:lang w:val="en-US"/>
        </w:rPr>
        <w:t xml:space="preserve"> 2015 results.</w:t>
      </w:r>
    </w:p>
    <w:p w:rsidR="000248E1" w:rsidRPr="00746EDE" w:rsidRDefault="000248E1" w:rsidP="004E69FB">
      <w:pPr>
        <w:widowControl w:val="0"/>
        <w:autoSpaceDE w:val="0"/>
        <w:autoSpaceDN w:val="0"/>
        <w:adjustRightInd w:val="0"/>
        <w:spacing w:line="288" w:lineRule="auto"/>
        <w:jc w:val="both"/>
      </w:pPr>
    </w:p>
    <w:p w:rsidR="00CC7418" w:rsidRPr="00CC4D0E" w:rsidRDefault="00CC7418" w:rsidP="00CC7418">
      <w:pPr>
        <w:widowControl w:val="0"/>
        <w:autoSpaceDE w:val="0"/>
        <w:autoSpaceDN w:val="0"/>
        <w:adjustRightInd w:val="0"/>
        <w:jc w:val="both"/>
        <w:rPr>
          <w:b/>
          <w:bCs/>
          <w:lang w:val="en-US"/>
        </w:rPr>
      </w:pPr>
      <w:r w:rsidRPr="00CC4D0E">
        <w:rPr>
          <w:b/>
          <w:bCs/>
          <w:lang w:val="en-US"/>
        </w:rPr>
        <w:t>5. Information about the persons, holding</w:t>
      </w:r>
      <w:r>
        <w:rPr>
          <w:b/>
          <w:bCs/>
          <w:lang w:val="en-US"/>
        </w:rPr>
        <w:t xml:space="preserve"> </w:t>
      </w:r>
      <w:r w:rsidRPr="00CC4D0E">
        <w:rPr>
          <w:b/>
          <w:bCs/>
          <w:lang w:val="en-US"/>
        </w:rPr>
        <w:t>directly or indirectly, at least 5 perce</w:t>
      </w:r>
      <w:r>
        <w:rPr>
          <w:b/>
          <w:bCs/>
          <w:lang w:val="en-US"/>
        </w:rPr>
        <w:t xml:space="preserve">nt of the voting rights </w:t>
      </w:r>
      <w:r w:rsidRPr="00CC4D0E">
        <w:rPr>
          <w:b/>
          <w:bCs/>
          <w:lang w:val="en-US"/>
        </w:rPr>
        <w:t xml:space="preserve">as </w:t>
      </w:r>
      <w:r>
        <w:rPr>
          <w:b/>
          <w:bCs/>
          <w:lang w:val="en-US"/>
        </w:rPr>
        <w:t>of</w:t>
      </w:r>
      <w:r w:rsidRPr="00CC4D0E">
        <w:rPr>
          <w:b/>
          <w:bCs/>
          <w:lang w:val="en-US"/>
        </w:rPr>
        <w:t xml:space="preserve"> the end of the </w:t>
      </w:r>
      <w:r>
        <w:rPr>
          <w:b/>
          <w:bCs/>
          <w:lang w:val="en-US"/>
        </w:rPr>
        <w:t>respective</w:t>
      </w:r>
      <w:r w:rsidRPr="00CC4D0E">
        <w:rPr>
          <w:b/>
          <w:bCs/>
          <w:lang w:val="en-US"/>
        </w:rPr>
        <w:t xml:space="preserve"> quarter, and the changes in the votes that the persons hold during the period since the end of the previous quarter </w:t>
      </w:r>
    </w:p>
    <w:p w:rsidR="00CC7418" w:rsidRPr="00CC4D0E" w:rsidRDefault="00CC7418" w:rsidP="00CC7418">
      <w:pPr>
        <w:spacing w:after="120" w:line="288" w:lineRule="auto"/>
        <w:jc w:val="both"/>
        <w:rPr>
          <w:i/>
          <w:lang w:val="en-US"/>
        </w:rPr>
      </w:pPr>
      <w:r w:rsidRPr="00CC4D0E">
        <w:rPr>
          <w:i/>
          <w:lang w:val="en-US"/>
        </w:rPr>
        <w:t xml:space="preserve">5.1. “Speedy Group” AD </w:t>
      </w:r>
    </w:p>
    <w:p w:rsidR="00CC7418" w:rsidRPr="00CC4D0E" w:rsidRDefault="00CC7418" w:rsidP="00CC7418">
      <w:pPr>
        <w:spacing w:after="120" w:line="288" w:lineRule="auto"/>
        <w:jc w:val="both"/>
        <w:rPr>
          <w:lang w:val="en-US"/>
        </w:rPr>
      </w:pPr>
      <w:r w:rsidRPr="00CC4D0E">
        <w:rPr>
          <w:lang w:val="en-US"/>
        </w:rPr>
        <w:t xml:space="preserve">Number of shares </w:t>
      </w:r>
      <w:r>
        <w:rPr>
          <w:lang w:val="en-US"/>
        </w:rPr>
        <w:t xml:space="preserve">with </w:t>
      </w:r>
      <w:r w:rsidRPr="00CC4D0E">
        <w:rPr>
          <w:lang w:val="en-US"/>
        </w:rPr>
        <w:t>voting</w:t>
      </w:r>
      <w:r>
        <w:rPr>
          <w:lang w:val="en-US"/>
        </w:rPr>
        <w:t xml:space="preserve"> rights</w:t>
      </w:r>
      <w:r w:rsidRPr="00CC4D0E">
        <w:rPr>
          <w:lang w:val="en-US"/>
        </w:rPr>
        <w:t xml:space="preserve"> and their share in the </w:t>
      </w:r>
      <w:r>
        <w:rPr>
          <w:lang w:val="en-US"/>
        </w:rPr>
        <w:t xml:space="preserve">total </w:t>
      </w:r>
      <w:r w:rsidRPr="00CC4D0E">
        <w:rPr>
          <w:lang w:val="en-US"/>
        </w:rPr>
        <w:t xml:space="preserve">votes </w:t>
      </w:r>
      <w:r>
        <w:rPr>
          <w:lang w:val="en-US"/>
        </w:rPr>
        <w:t>in</w:t>
      </w:r>
      <w:r w:rsidRPr="00CC4D0E">
        <w:rPr>
          <w:lang w:val="en-US"/>
        </w:rPr>
        <w:t xml:space="preserve"> the general meeting of the shareholders in the company: </w:t>
      </w:r>
    </w:p>
    <w:p w:rsidR="00CC7418" w:rsidRPr="00CC4D0E" w:rsidRDefault="00CC7418" w:rsidP="00CC7418">
      <w:pPr>
        <w:widowControl w:val="0"/>
        <w:autoSpaceDE w:val="0"/>
        <w:autoSpaceDN w:val="0"/>
        <w:adjustRightInd w:val="0"/>
        <w:spacing w:line="288" w:lineRule="auto"/>
        <w:jc w:val="both"/>
        <w:rPr>
          <w:lang w:val="en-US"/>
        </w:rPr>
      </w:pPr>
      <w:bookmarkStart w:id="5" w:name="OLE_LINK5"/>
      <w:bookmarkStart w:id="6" w:name="OLE_LINK6"/>
      <w:r w:rsidRPr="00CC4D0E">
        <w:rPr>
          <w:lang w:val="en-US"/>
        </w:rPr>
        <w:t xml:space="preserve">As </w:t>
      </w:r>
      <w:r>
        <w:rPr>
          <w:lang w:val="en-US"/>
        </w:rPr>
        <w:t>of</w:t>
      </w:r>
      <w:r w:rsidRPr="00CC4D0E">
        <w:rPr>
          <w:lang w:val="en-US"/>
        </w:rPr>
        <w:t xml:space="preserve"> 3</w:t>
      </w:r>
      <w:r>
        <w:rPr>
          <w:lang w:val="en-US"/>
        </w:rPr>
        <w:t>0</w:t>
      </w:r>
      <w:r w:rsidRPr="00CC4D0E">
        <w:rPr>
          <w:lang w:val="en-US"/>
        </w:rPr>
        <w:t xml:space="preserve"> </w:t>
      </w:r>
      <w:r>
        <w:rPr>
          <w:lang w:val="en-US"/>
        </w:rPr>
        <w:t>June</w:t>
      </w:r>
      <w:r w:rsidRPr="00CC4D0E">
        <w:rPr>
          <w:lang w:val="en-US"/>
        </w:rPr>
        <w:t xml:space="preserve"> </w:t>
      </w:r>
      <w:r w:rsidRPr="00CC4D0E">
        <w:rPr>
          <w:lang w:val="en-US"/>
        </w:rPr>
        <w:t>2015 – 3 544 367 shares, representing 66.42 % of the voting shares.</w:t>
      </w:r>
    </w:p>
    <w:bookmarkEnd w:id="5"/>
    <w:bookmarkEnd w:id="6"/>
    <w:p w:rsidR="00CC7418" w:rsidRPr="00CC4D0E" w:rsidRDefault="00CC7418" w:rsidP="00CC7418">
      <w:pPr>
        <w:spacing w:after="120" w:line="288" w:lineRule="auto"/>
        <w:jc w:val="both"/>
        <w:rPr>
          <w:lang w:val="en-US"/>
        </w:rPr>
      </w:pPr>
      <w:r w:rsidRPr="00CC4D0E">
        <w:rPr>
          <w:color w:val="241E1C"/>
          <w:spacing w:val="-1"/>
          <w:sz w:val="22"/>
          <w:szCs w:val="22"/>
          <w:lang w:val="en-US"/>
        </w:rPr>
        <w:t>Valery Mektupchiyan</w:t>
      </w:r>
      <w:r w:rsidRPr="00CC4D0E">
        <w:rPr>
          <w:lang w:val="en-US"/>
        </w:rPr>
        <w:t xml:space="preserve"> controls “Speedy Group” AD and through the shares that he holds in “Speedy Group” AD, he also controls “Speedy</w:t>
      </w:r>
      <w:proofErr w:type="gramStart"/>
      <w:r w:rsidRPr="00CC4D0E">
        <w:rPr>
          <w:lang w:val="en-US"/>
        </w:rPr>
        <w:t>“ AD</w:t>
      </w:r>
      <w:proofErr w:type="gramEnd"/>
      <w:r w:rsidRPr="00CC4D0E">
        <w:rPr>
          <w:lang w:val="en-US"/>
        </w:rPr>
        <w:t>.</w:t>
      </w:r>
    </w:p>
    <w:p w:rsidR="00CC7418" w:rsidRPr="00CC4D0E" w:rsidRDefault="00CC7418" w:rsidP="00CC7418">
      <w:pPr>
        <w:spacing w:after="120" w:line="288" w:lineRule="auto"/>
        <w:jc w:val="both"/>
        <w:rPr>
          <w:i/>
          <w:lang w:val="en-US"/>
        </w:rPr>
      </w:pPr>
      <w:r w:rsidRPr="00CC4D0E">
        <w:rPr>
          <w:i/>
          <w:lang w:val="en-US"/>
        </w:rPr>
        <w:t>5.2. Geopost SA</w:t>
      </w:r>
    </w:p>
    <w:p w:rsidR="00CC7418" w:rsidRPr="00CC4D0E" w:rsidRDefault="00CC7418" w:rsidP="00CC7418">
      <w:pPr>
        <w:spacing w:after="120" w:line="288" w:lineRule="auto"/>
        <w:jc w:val="both"/>
        <w:rPr>
          <w:lang w:val="en-US"/>
        </w:rPr>
      </w:pPr>
      <w:r w:rsidRPr="00CC4D0E">
        <w:rPr>
          <w:lang w:val="en-US"/>
        </w:rPr>
        <w:lastRenderedPageBreak/>
        <w:t xml:space="preserve">As </w:t>
      </w:r>
      <w:r>
        <w:rPr>
          <w:lang w:val="en-US"/>
        </w:rPr>
        <w:t>of</w:t>
      </w:r>
      <w:r w:rsidRPr="00CC4D0E">
        <w:rPr>
          <w:lang w:val="en-US"/>
        </w:rPr>
        <w:t xml:space="preserve"> </w:t>
      </w:r>
      <w:r w:rsidRPr="00CC7418">
        <w:rPr>
          <w:lang w:val="en-US"/>
        </w:rPr>
        <w:t xml:space="preserve">30 June </w:t>
      </w:r>
      <w:r w:rsidRPr="00CC4D0E">
        <w:rPr>
          <w:lang w:val="en-US"/>
        </w:rPr>
        <w:t xml:space="preserve">2015, Geopost SA holds 1 333 979 shares, </w:t>
      </w:r>
      <w:r w:rsidRPr="008D185B">
        <w:rPr>
          <w:lang w:val="en-US"/>
        </w:rPr>
        <w:t xml:space="preserve">representing </w:t>
      </w:r>
      <w:r w:rsidRPr="00CC4D0E">
        <w:rPr>
          <w:lang w:val="en-US"/>
        </w:rPr>
        <w:t>25 % of the voting shares.</w:t>
      </w:r>
    </w:p>
    <w:p w:rsidR="00DB6CE5" w:rsidRPr="00746EDE" w:rsidRDefault="00DB6CE5" w:rsidP="00A97C9B">
      <w:pPr>
        <w:spacing w:after="120" w:line="288" w:lineRule="auto"/>
        <w:jc w:val="both"/>
      </w:pPr>
    </w:p>
    <w:p w:rsidR="00CC7418" w:rsidRPr="00CC7418" w:rsidRDefault="00CC7418" w:rsidP="00CC7418">
      <w:pPr>
        <w:widowControl w:val="0"/>
        <w:autoSpaceDE w:val="0"/>
        <w:autoSpaceDN w:val="0"/>
        <w:adjustRightInd w:val="0"/>
        <w:spacing w:line="288" w:lineRule="auto"/>
        <w:jc w:val="both"/>
        <w:rPr>
          <w:lang w:val="en-US"/>
        </w:rPr>
      </w:pPr>
      <w:r w:rsidRPr="00CC7418">
        <w:rPr>
          <w:b/>
          <w:lang w:val="en-US"/>
        </w:rPr>
        <w:t>6. Information about the shares held by the members of the Board of Directors of the company at the end of the period and about the changes during the period since the end of the previous quarter</w:t>
      </w:r>
    </w:p>
    <w:p w:rsidR="00CC7418" w:rsidRPr="00CC7418" w:rsidRDefault="00CC7418" w:rsidP="00CC7418">
      <w:pPr>
        <w:spacing w:after="120"/>
        <w:jc w:val="both"/>
        <w:rPr>
          <w:lang w:val="en-US"/>
        </w:rPr>
      </w:pPr>
      <w:r w:rsidRPr="00CC7418">
        <w:rPr>
          <w:lang w:val="en-US"/>
        </w:rPr>
        <w:t>As of 30 June 2015:</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108"/>
        <w:gridCol w:w="1341"/>
        <w:gridCol w:w="1341"/>
        <w:gridCol w:w="1342"/>
        <w:gridCol w:w="1341"/>
        <w:gridCol w:w="1341"/>
        <w:gridCol w:w="1342"/>
      </w:tblGrid>
      <w:tr w:rsidR="00CC7418" w:rsidRPr="00CC7418" w:rsidTr="00A60013">
        <w:trPr>
          <w:trHeight w:val="1077"/>
          <w:tblCellSpacing w:w="20" w:type="dxa"/>
          <w:jc w:val="center"/>
        </w:trPr>
        <w:tc>
          <w:tcPr>
            <w:tcW w:w="2048" w:type="dxa"/>
            <w:shd w:val="clear" w:color="auto" w:fill="auto"/>
            <w:vAlign w:val="center"/>
          </w:tcPr>
          <w:p w:rsidR="00CC7418" w:rsidRPr="00CC7418" w:rsidRDefault="00CC7418" w:rsidP="00CC7418">
            <w:pPr>
              <w:spacing w:after="120"/>
              <w:ind w:left="283"/>
              <w:jc w:val="center"/>
              <w:rPr>
                <w:b/>
                <w:lang w:val="en-US"/>
              </w:rPr>
            </w:pPr>
          </w:p>
        </w:tc>
        <w:tc>
          <w:tcPr>
            <w:tcW w:w="1301" w:type="dxa"/>
            <w:shd w:val="clear" w:color="auto" w:fill="auto"/>
            <w:vAlign w:val="center"/>
          </w:tcPr>
          <w:p w:rsidR="00CC7418" w:rsidRPr="00CC7418" w:rsidRDefault="00CC7418" w:rsidP="00CC7418">
            <w:pPr>
              <w:widowControl w:val="0"/>
              <w:autoSpaceDE w:val="0"/>
              <w:autoSpaceDN w:val="0"/>
              <w:adjustRightInd w:val="0"/>
              <w:spacing w:line="288" w:lineRule="auto"/>
              <w:jc w:val="center"/>
              <w:rPr>
                <w:b/>
                <w:bCs/>
                <w:iCs/>
                <w:lang w:val="en-US"/>
              </w:rPr>
            </w:pPr>
            <w:r w:rsidRPr="00CC7418">
              <w:rPr>
                <w:b/>
                <w:lang w:val="en-US"/>
              </w:rPr>
              <w:t>Acquired 2</w:t>
            </w:r>
            <w:r w:rsidRPr="00CC7418">
              <w:rPr>
                <w:b/>
                <w:vertAlign w:val="superscript"/>
                <w:lang w:val="en-US"/>
              </w:rPr>
              <w:t>nd</w:t>
            </w:r>
            <w:r w:rsidRPr="00CC7418">
              <w:rPr>
                <w:b/>
                <w:lang w:val="en-US"/>
              </w:rPr>
              <w:t xml:space="preserve"> quarter of 2015</w:t>
            </w:r>
          </w:p>
        </w:tc>
        <w:tc>
          <w:tcPr>
            <w:tcW w:w="1301" w:type="dxa"/>
            <w:shd w:val="clear" w:color="auto" w:fill="auto"/>
            <w:vAlign w:val="center"/>
          </w:tcPr>
          <w:p w:rsidR="00CC7418" w:rsidRPr="00CC7418" w:rsidRDefault="00CC7418" w:rsidP="00CC7418">
            <w:pPr>
              <w:widowControl w:val="0"/>
              <w:autoSpaceDE w:val="0"/>
              <w:autoSpaceDN w:val="0"/>
              <w:adjustRightInd w:val="0"/>
              <w:spacing w:line="288" w:lineRule="auto"/>
              <w:ind w:left="72" w:right="-62" w:hanging="72"/>
              <w:jc w:val="center"/>
              <w:rPr>
                <w:b/>
                <w:bCs/>
                <w:iCs/>
                <w:lang w:val="en-US"/>
              </w:rPr>
            </w:pPr>
            <w:r w:rsidRPr="00CC7418">
              <w:rPr>
                <w:b/>
                <w:lang w:val="en-US"/>
              </w:rPr>
              <w:t>Transferred  2</w:t>
            </w:r>
            <w:r w:rsidRPr="00CC7418">
              <w:rPr>
                <w:b/>
                <w:vertAlign w:val="superscript"/>
                <w:lang w:val="en-US"/>
              </w:rPr>
              <w:t>nd</w:t>
            </w:r>
            <w:r w:rsidRPr="00CC7418">
              <w:rPr>
                <w:b/>
                <w:lang w:val="en-US"/>
              </w:rPr>
              <w:t xml:space="preserve"> quarter of 2015</w:t>
            </w:r>
          </w:p>
        </w:tc>
        <w:tc>
          <w:tcPr>
            <w:tcW w:w="1302" w:type="dxa"/>
            <w:shd w:val="clear" w:color="auto" w:fill="auto"/>
            <w:vAlign w:val="center"/>
          </w:tcPr>
          <w:p w:rsidR="00CC7418" w:rsidRPr="00CC7418" w:rsidRDefault="00CC7418" w:rsidP="00CC7418">
            <w:pPr>
              <w:widowControl w:val="0"/>
              <w:autoSpaceDE w:val="0"/>
              <w:autoSpaceDN w:val="0"/>
              <w:adjustRightInd w:val="0"/>
              <w:spacing w:line="288" w:lineRule="auto"/>
              <w:jc w:val="center"/>
              <w:rPr>
                <w:b/>
                <w:bCs/>
                <w:iCs/>
                <w:lang w:val="en-US"/>
              </w:rPr>
            </w:pPr>
            <w:r w:rsidRPr="00CC7418">
              <w:rPr>
                <w:b/>
                <w:bCs/>
                <w:iCs/>
                <w:lang w:val="en-US"/>
              </w:rPr>
              <w:t>Number of shares held directly</w:t>
            </w:r>
          </w:p>
        </w:tc>
        <w:tc>
          <w:tcPr>
            <w:tcW w:w="1301" w:type="dxa"/>
            <w:shd w:val="clear" w:color="auto" w:fill="auto"/>
            <w:vAlign w:val="center"/>
          </w:tcPr>
          <w:p w:rsidR="00CC7418" w:rsidRPr="00CC7418" w:rsidRDefault="00CC7418" w:rsidP="00CC7418">
            <w:pPr>
              <w:widowControl w:val="0"/>
              <w:autoSpaceDE w:val="0"/>
              <w:autoSpaceDN w:val="0"/>
              <w:adjustRightInd w:val="0"/>
              <w:spacing w:line="288" w:lineRule="auto"/>
              <w:ind w:left="-148" w:right="-73"/>
              <w:jc w:val="center"/>
              <w:rPr>
                <w:b/>
                <w:bCs/>
                <w:iCs/>
                <w:lang w:val="en-US"/>
              </w:rPr>
            </w:pPr>
            <w:r w:rsidRPr="00CC7418">
              <w:rPr>
                <w:b/>
                <w:bCs/>
                <w:iCs/>
                <w:lang w:val="en-US"/>
              </w:rPr>
              <w:t>Number of shares held through related parties</w:t>
            </w:r>
          </w:p>
        </w:tc>
        <w:tc>
          <w:tcPr>
            <w:tcW w:w="1301" w:type="dxa"/>
            <w:shd w:val="clear" w:color="auto" w:fill="auto"/>
            <w:vAlign w:val="center"/>
          </w:tcPr>
          <w:p w:rsidR="00CC7418" w:rsidRPr="00CC7418" w:rsidRDefault="00CC7418" w:rsidP="00CC7418">
            <w:pPr>
              <w:widowControl w:val="0"/>
              <w:autoSpaceDE w:val="0"/>
              <w:autoSpaceDN w:val="0"/>
              <w:adjustRightInd w:val="0"/>
              <w:spacing w:line="288" w:lineRule="auto"/>
              <w:jc w:val="center"/>
              <w:rPr>
                <w:b/>
                <w:bCs/>
                <w:iCs/>
                <w:lang w:val="en-US"/>
              </w:rPr>
            </w:pPr>
            <w:r w:rsidRPr="00CC7418">
              <w:rPr>
                <w:b/>
                <w:bCs/>
                <w:iCs/>
                <w:lang w:val="en-US"/>
              </w:rPr>
              <w:t>Total directly and through related parties</w:t>
            </w:r>
          </w:p>
        </w:tc>
        <w:tc>
          <w:tcPr>
            <w:tcW w:w="1282" w:type="dxa"/>
            <w:shd w:val="clear" w:color="auto" w:fill="auto"/>
            <w:vAlign w:val="center"/>
          </w:tcPr>
          <w:p w:rsidR="00CC7418" w:rsidRPr="00CC7418" w:rsidRDefault="00CC7418" w:rsidP="00CC7418">
            <w:pPr>
              <w:widowControl w:val="0"/>
              <w:autoSpaceDE w:val="0"/>
              <w:autoSpaceDN w:val="0"/>
              <w:adjustRightInd w:val="0"/>
              <w:spacing w:line="288" w:lineRule="auto"/>
              <w:ind w:left="-137" w:right="-103"/>
              <w:jc w:val="center"/>
              <w:rPr>
                <w:b/>
                <w:bCs/>
                <w:iCs/>
                <w:lang w:val="en-US"/>
              </w:rPr>
            </w:pPr>
            <w:r w:rsidRPr="00CC7418">
              <w:rPr>
                <w:b/>
                <w:bCs/>
                <w:iCs/>
                <w:lang w:val="en-US"/>
              </w:rPr>
              <w:t>Share in the capital held directly and through related parties</w:t>
            </w:r>
          </w:p>
        </w:tc>
      </w:tr>
      <w:tr w:rsidR="00CC7418" w:rsidRPr="00CC7418" w:rsidTr="00A60013">
        <w:trPr>
          <w:trHeight w:val="259"/>
          <w:tblCellSpacing w:w="20" w:type="dxa"/>
          <w:jc w:val="center"/>
        </w:trPr>
        <w:tc>
          <w:tcPr>
            <w:tcW w:w="2048" w:type="dxa"/>
            <w:shd w:val="clear" w:color="auto" w:fill="auto"/>
            <w:vAlign w:val="center"/>
          </w:tcPr>
          <w:p w:rsidR="00CC7418" w:rsidRPr="00CC7418" w:rsidRDefault="00CC7418" w:rsidP="00CC7418">
            <w:pPr>
              <w:widowControl w:val="0"/>
              <w:autoSpaceDE w:val="0"/>
              <w:autoSpaceDN w:val="0"/>
              <w:adjustRightInd w:val="0"/>
              <w:spacing w:line="288" w:lineRule="auto"/>
              <w:rPr>
                <w:lang w:val="en-US"/>
              </w:rPr>
            </w:pPr>
            <w:r w:rsidRPr="00CC7418">
              <w:rPr>
                <w:color w:val="241E1C"/>
                <w:spacing w:val="-1"/>
                <w:sz w:val="22"/>
                <w:szCs w:val="22"/>
                <w:lang w:val="en-US"/>
              </w:rPr>
              <w:t>Valery Mektupchiyan</w:t>
            </w:r>
          </w:p>
        </w:tc>
        <w:tc>
          <w:tcPr>
            <w:tcW w:w="1301" w:type="dxa"/>
            <w:shd w:val="clear" w:color="auto" w:fill="auto"/>
            <w:vAlign w:val="center"/>
          </w:tcPr>
          <w:p w:rsidR="00CC7418" w:rsidRPr="00CC7418" w:rsidRDefault="00CC7418" w:rsidP="00CC7418">
            <w:pPr>
              <w:widowControl w:val="0"/>
              <w:autoSpaceDE w:val="0"/>
              <w:autoSpaceDN w:val="0"/>
              <w:adjustRightInd w:val="0"/>
              <w:spacing w:line="288" w:lineRule="auto"/>
              <w:jc w:val="right"/>
              <w:rPr>
                <w:lang w:val="en-US"/>
              </w:rPr>
            </w:pPr>
            <w:r w:rsidRPr="00CC7418">
              <w:rPr>
                <w:lang w:val="en-US"/>
              </w:rPr>
              <w:t>0</w:t>
            </w:r>
          </w:p>
        </w:tc>
        <w:tc>
          <w:tcPr>
            <w:tcW w:w="1301" w:type="dxa"/>
            <w:shd w:val="clear" w:color="auto" w:fill="auto"/>
            <w:vAlign w:val="center"/>
          </w:tcPr>
          <w:p w:rsidR="00CC7418" w:rsidRPr="00CC7418" w:rsidRDefault="00CC7418" w:rsidP="00CC7418">
            <w:pPr>
              <w:widowControl w:val="0"/>
              <w:autoSpaceDE w:val="0"/>
              <w:autoSpaceDN w:val="0"/>
              <w:adjustRightInd w:val="0"/>
              <w:spacing w:line="288" w:lineRule="auto"/>
              <w:jc w:val="right"/>
              <w:rPr>
                <w:lang w:val="en-US"/>
              </w:rPr>
            </w:pPr>
            <w:r w:rsidRPr="00CC7418">
              <w:rPr>
                <w:lang w:val="en-US"/>
              </w:rPr>
              <w:t>0</w:t>
            </w:r>
          </w:p>
        </w:tc>
        <w:tc>
          <w:tcPr>
            <w:tcW w:w="1302" w:type="dxa"/>
            <w:shd w:val="clear" w:color="auto" w:fill="auto"/>
            <w:vAlign w:val="center"/>
          </w:tcPr>
          <w:p w:rsidR="00CC7418" w:rsidRPr="00CC7418" w:rsidRDefault="00CC7418" w:rsidP="00CC7418">
            <w:pPr>
              <w:widowControl w:val="0"/>
              <w:autoSpaceDE w:val="0"/>
              <w:autoSpaceDN w:val="0"/>
              <w:adjustRightInd w:val="0"/>
              <w:spacing w:line="288" w:lineRule="auto"/>
              <w:jc w:val="right"/>
              <w:rPr>
                <w:lang w:val="en-US"/>
              </w:rPr>
            </w:pPr>
            <w:r w:rsidRPr="00CC7418">
              <w:rPr>
                <w:lang w:val="en-US"/>
              </w:rPr>
              <w:t>0</w:t>
            </w:r>
          </w:p>
        </w:tc>
        <w:tc>
          <w:tcPr>
            <w:tcW w:w="1301" w:type="dxa"/>
            <w:shd w:val="clear" w:color="auto" w:fill="auto"/>
            <w:vAlign w:val="center"/>
          </w:tcPr>
          <w:p w:rsidR="00CC7418" w:rsidRPr="00CC7418" w:rsidRDefault="00CC7418" w:rsidP="00CC7418">
            <w:pPr>
              <w:jc w:val="right"/>
              <w:rPr>
                <w:lang w:val="en-US"/>
              </w:rPr>
            </w:pPr>
            <w:r w:rsidRPr="00CC7418">
              <w:rPr>
                <w:lang w:val="en-US"/>
              </w:rPr>
              <w:t>3 544 367</w:t>
            </w:r>
          </w:p>
        </w:tc>
        <w:tc>
          <w:tcPr>
            <w:tcW w:w="1301" w:type="dxa"/>
            <w:shd w:val="clear" w:color="auto" w:fill="auto"/>
            <w:vAlign w:val="center"/>
          </w:tcPr>
          <w:p w:rsidR="00CC7418" w:rsidRPr="00CC7418" w:rsidRDefault="00CC7418" w:rsidP="00CC7418">
            <w:pPr>
              <w:jc w:val="right"/>
              <w:rPr>
                <w:lang w:val="en-US"/>
              </w:rPr>
            </w:pPr>
            <w:r w:rsidRPr="00CC7418">
              <w:rPr>
                <w:lang w:val="en-US"/>
              </w:rPr>
              <w:t>3 544 367</w:t>
            </w:r>
          </w:p>
        </w:tc>
        <w:tc>
          <w:tcPr>
            <w:tcW w:w="1282" w:type="dxa"/>
            <w:shd w:val="clear" w:color="auto" w:fill="auto"/>
            <w:vAlign w:val="center"/>
          </w:tcPr>
          <w:p w:rsidR="00CC7418" w:rsidRPr="00CC7418" w:rsidRDefault="00CC7418" w:rsidP="00CC7418">
            <w:pPr>
              <w:widowControl w:val="0"/>
              <w:autoSpaceDE w:val="0"/>
              <w:autoSpaceDN w:val="0"/>
              <w:adjustRightInd w:val="0"/>
              <w:spacing w:line="288" w:lineRule="auto"/>
              <w:jc w:val="right"/>
              <w:rPr>
                <w:lang w:val="en-US"/>
              </w:rPr>
            </w:pPr>
            <w:r w:rsidRPr="00CC7418">
              <w:rPr>
                <w:lang w:val="en-US"/>
              </w:rPr>
              <w:t>66.42%</w:t>
            </w:r>
          </w:p>
        </w:tc>
      </w:tr>
      <w:tr w:rsidR="00CC7418" w:rsidRPr="00CC7418" w:rsidTr="00A60013">
        <w:trPr>
          <w:trHeight w:val="259"/>
          <w:tblCellSpacing w:w="20" w:type="dxa"/>
          <w:jc w:val="center"/>
        </w:trPr>
        <w:tc>
          <w:tcPr>
            <w:tcW w:w="2048" w:type="dxa"/>
            <w:shd w:val="clear" w:color="auto" w:fill="auto"/>
            <w:vAlign w:val="center"/>
          </w:tcPr>
          <w:p w:rsidR="00CC7418" w:rsidRPr="00CC7418" w:rsidRDefault="00CC7418" w:rsidP="00CC7418">
            <w:pPr>
              <w:widowControl w:val="0"/>
              <w:autoSpaceDE w:val="0"/>
              <w:autoSpaceDN w:val="0"/>
              <w:adjustRightInd w:val="0"/>
              <w:spacing w:line="288" w:lineRule="auto"/>
              <w:rPr>
                <w:lang w:val="en-US"/>
              </w:rPr>
            </w:pPr>
            <w:r w:rsidRPr="00CC7418">
              <w:rPr>
                <w:lang w:val="en-US"/>
              </w:rPr>
              <w:t>Danail Danailov</w:t>
            </w:r>
          </w:p>
        </w:tc>
        <w:tc>
          <w:tcPr>
            <w:tcW w:w="1301" w:type="dxa"/>
            <w:shd w:val="clear" w:color="auto" w:fill="auto"/>
            <w:vAlign w:val="center"/>
          </w:tcPr>
          <w:p w:rsidR="00CC7418" w:rsidRPr="00CC7418" w:rsidRDefault="00CC7418" w:rsidP="00CC7418">
            <w:pPr>
              <w:widowControl w:val="0"/>
              <w:autoSpaceDE w:val="0"/>
              <w:autoSpaceDN w:val="0"/>
              <w:adjustRightInd w:val="0"/>
              <w:spacing w:line="288" w:lineRule="auto"/>
              <w:jc w:val="right"/>
              <w:rPr>
                <w:lang w:val="en-US"/>
              </w:rPr>
            </w:pPr>
            <w:r w:rsidRPr="00CC7418">
              <w:rPr>
                <w:lang w:val="en-US"/>
              </w:rPr>
              <w:t>0</w:t>
            </w:r>
          </w:p>
        </w:tc>
        <w:tc>
          <w:tcPr>
            <w:tcW w:w="1301" w:type="dxa"/>
            <w:shd w:val="clear" w:color="auto" w:fill="auto"/>
            <w:vAlign w:val="center"/>
          </w:tcPr>
          <w:p w:rsidR="00CC7418" w:rsidRPr="00CC7418" w:rsidRDefault="00CC7418" w:rsidP="00CC7418">
            <w:pPr>
              <w:widowControl w:val="0"/>
              <w:autoSpaceDE w:val="0"/>
              <w:autoSpaceDN w:val="0"/>
              <w:adjustRightInd w:val="0"/>
              <w:spacing w:line="288" w:lineRule="auto"/>
              <w:jc w:val="right"/>
              <w:rPr>
                <w:lang w:val="en-US"/>
              </w:rPr>
            </w:pPr>
            <w:r w:rsidRPr="00CC7418">
              <w:rPr>
                <w:lang w:val="en-US"/>
              </w:rPr>
              <w:t>0</w:t>
            </w:r>
          </w:p>
        </w:tc>
        <w:tc>
          <w:tcPr>
            <w:tcW w:w="1302" w:type="dxa"/>
            <w:shd w:val="clear" w:color="auto" w:fill="auto"/>
            <w:vAlign w:val="center"/>
          </w:tcPr>
          <w:p w:rsidR="00CC7418" w:rsidRPr="00CC7418" w:rsidRDefault="00CC7418" w:rsidP="00CC7418">
            <w:pPr>
              <w:widowControl w:val="0"/>
              <w:autoSpaceDE w:val="0"/>
              <w:autoSpaceDN w:val="0"/>
              <w:adjustRightInd w:val="0"/>
              <w:spacing w:line="288" w:lineRule="auto"/>
              <w:jc w:val="right"/>
              <w:rPr>
                <w:lang w:val="en-US"/>
              </w:rPr>
            </w:pPr>
            <w:r w:rsidRPr="00CC7418">
              <w:rPr>
                <w:lang w:val="en-US"/>
              </w:rPr>
              <w:t>360</w:t>
            </w:r>
          </w:p>
        </w:tc>
        <w:tc>
          <w:tcPr>
            <w:tcW w:w="1301" w:type="dxa"/>
            <w:shd w:val="clear" w:color="auto" w:fill="auto"/>
            <w:vAlign w:val="center"/>
          </w:tcPr>
          <w:p w:rsidR="00CC7418" w:rsidRPr="00CC7418" w:rsidRDefault="00CC7418" w:rsidP="00CC7418">
            <w:pPr>
              <w:widowControl w:val="0"/>
              <w:autoSpaceDE w:val="0"/>
              <w:autoSpaceDN w:val="0"/>
              <w:adjustRightInd w:val="0"/>
              <w:spacing w:line="288" w:lineRule="auto"/>
              <w:jc w:val="right"/>
              <w:rPr>
                <w:lang w:val="en-US"/>
              </w:rPr>
            </w:pPr>
            <w:r w:rsidRPr="00CC7418">
              <w:rPr>
                <w:lang w:val="en-US"/>
              </w:rPr>
              <w:t>0</w:t>
            </w:r>
          </w:p>
        </w:tc>
        <w:tc>
          <w:tcPr>
            <w:tcW w:w="1301" w:type="dxa"/>
            <w:shd w:val="clear" w:color="auto" w:fill="auto"/>
            <w:vAlign w:val="center"/>
          </w:tcPr>
          <w:p w:rsidR="00CC7418" w:rsidRPr="00CC7418" w:rsidRDefault="00CC7418" w:rsidP="00CC7418">
            <w:pPr>
              <w:widowControl w:val="0"/>
              <w:autoSpaceDE w:val="0"/>
              <w:autoSpaceDN w:val="0"/>
              <w:adjustRightInd w:val="0"/>
              <w:spacing w:line="288" w:lineRule="auto"/>
              <w:jc w:val="right"/>
              <w:rPr>
                <w:lang w:val="en-US"/>
              </w:rPr>
            </w:pPr>
            <w:r w:rsidRPr="00CC7418">
              <w:rPr>
                <w:lang w:val="en-US"/>
              </w:rPr>
              <w:t>0</w:t>
            </w:r>
          </w:p>
        </w:tc>
        <w:tc>
          <w:tcPr>
            <w:tcW w:w="1282" w:type="dxa"/>
            <w:shd w:val="clear" w:color="auto" w:fill="auto"/>
            <w:vAlign w:val="center"/>
          </w:tcPr>
          <w:p w:rsidR="00CC7418" w:rsidRPr="00CC7418" w:rsidRDefault="00CC7418" w:rsidP="00CC7418">
            <w:pPr>
              <w:widowControl w:val="0"/>
              <w:autoSpaceDE w:val="0"/>
              <w:autoSpaceDN w:val="0"/>
              <w:adjustRightInd w:val="0"/>
              <w:spacing w:line="288" w:lineRule="auto"/>
              <w:jc w:val="right"/>
              <w:rPr>
                <w:lang w:val="en-US"/>
              </w:rPr>
            </w:pPr>
            <w:r w:rsidRPr="00CC7418">
              <w:rPr>
                <w:lang w:val="en-US"/>
              </w:rPr>
              <w:t>0.01%</w:t>
            </w:r>
          </w:p>
        </w:tc>
      </w:tr>
    </w:tbl>
    <w:p w:rsidR="00CC7418" w:rsidRPr="00CC7418" w:rsidRDefault="00CC7418" w:rsidP="00CC7418">
      <w:pPr>
        <w:widowControl w:val="0"/>
        <w:autoSpaceDE w:val="0"/>
        <w:autoSpaceDN w:val="0"/>
        <w:adjustRightInd w:val="0"/>
        <w:jc w:val="both"/>
        <w:rPr>
          <w:lang w:val="en-US"/>
        </w:rPr>
      </w:pPr>
    </w:p>
    <w:p w:rsidR="00CC7418" w:rsidRPr="00CC7418" w:rsidRDefault="00CC7418" w:rsidP="00CC7418">
      <w:pPr>
        <w:widowControl w:val="0"/>
        <w:autoSpaceDE w:val="0"/>
        <w:autoSpaceDN w:val="0"/>
        <w:adjustRightInd w:val="0"/>
        <w:jc w:val="both"/>
        <w:rPr>
          <w:lang w:val="en-US"/>
        </w:rPr>
      </w:pPr>
      <w:r w:rsidRPr="00CC7418">
        <w:rPr>
          <w:lang w:val="en-US"/>
        </w:rPr>
        <w:t>The members of the Board of Directors have no special rights to acquire shares in the company.</w:t>
      </w:r>
    </w:p>
    <w:p w:rsidR="00372C22" w:rsidRPr="00746EDE" w:rsidRDefault="00372C22" w:rsidP="004E69FB">
      <w:pPr>
        <w:widowControl w:val="0"/>
        <w:autoSpaceDE w:val="0"/>
        <w:autoSpaceDN w:val="0"/>
        <w:adjustRightInd w:val="0"/>
        <w:ind w:firstLine="480"/>
        <w:jc w:val="both"/>
      </w:pPr>
    </w:p>
    <w:p w:rsidR="00CC7418" w:rsidRPr="00CC7418" w:rsidRDefault="00CC7418" w:rsidP="00CC7418">
      <w:pPr>
        <w:widowControl w:val="0"/>
        <w:autoSpaceDE w:val="0"/>
        <w:autoSpaceDN w:val="0"/>
        <w:adjustRightInd w:val="0"/>
        <w:jc w:val="both"/>
        <w:rPr>
          <w:b/>
          <w:bCs/>
          <w:lang w:val="en-US"/>
        </w:rPr>
      </w:pPr>
      <w:r w:rsidRPr="00CC7418">
        <w:rPr>
          <w:b/>
          <w:bCs/>
          <w:lang w:val="en-US"/>
        </w:rPr>
        <w:t>7. Information about pending legal, administrative or arbitration proceedings, concerning obligations or receivables in amount of at least 10 percent of the equity of the issuer; if the total value of the obligations or receivables of the issuer in all instigated proceedings exceeds 10 percent of its equity, there shall be provided information separately about each of the proceedings</w:t>
      </w:r>
    </w:p>
    <w:p w:rsidR="00CC7418" w:rsidRPr="00CC7418" w:rsidRDefault="00CC7418" w:rsidP="00CC7418">
      <w:pPr>
        <w:spacing w:after="120"/>
        <w:ind w:right="-180"/>
        <w:jc w:val="both"/>
        <w:rPr>
          <w:lang w:val="en-US" w:eastAsia="x-none"/>
        </w:rPr>
      </w:pPr>
      <w:r w:rsidRPr="00CC7418">
        <w:rPr>
          <w:lang w:val="en-US" w:eastAsia="x-none"/>
        </w:rPr>
        <w:t>There are no legal or other proceedings with considerable value.</w:t>
      </w:r>
    </w:p>
    <w:p w:rsidR="00CC7418" w:rsidRPr="00CC7418" w:rsidRDefault="00CC7418" w:rsidP="00CC7418">
      <w:pPr>
        <w:widowControl w:val="0"/>
        <w:autoSpaceDE w:val="0"/>
        <w:autoSpaceDN w:val="0"/>
        <w:adjustRightInd w:val="0"/>
        <w:spacing w:line="288" w:lineRule="auto"/>
        <w:jc w:val="both"/>
        <w:rPr>
          <w:b/>
          <w:lang w:val="en-US"/>
        </w:rPr>
      </w:pPr>
    </w:p>
    <w:p w:rsidR="00CC7418" w:rsidRPr="00CC7418" w:rsidRDefault="00CC7418" w:rsidP="00CC7418">
      <w:pPr>
        <w:widowControl w:val="0"/>
        <w:autoSpaceDE w:val="0"/>
        <w:autoSpaceDN w:val="0"/>
        <w:adjustRightInd w:val="0"/>
        <w:jc w:val="both"/>
        <w:rPr>
          <w:b/>
          <w:bCs/>
          <w:lang w:val="en-US"/>
        </w:rPr>
      </w:pPr>
      <w:proofErr w:type="gramStart"/>
      <w:r w:rsidRPr="00CC7418">
        <w:rPr>
          <w:b/>
          <w:bCs/>
          <w:lang w:val="en-US"/>
        </w:rPr>
        <w:t>8. Information about the loans granted by the issuer or by any of its subsidiary, extended warranties or assuming of obligations, total to one person or any of its subsidiaries or including related parties, specifying the nature of the relationship between the issuer and the party, the amount of the outstanding principal, the interest rate, the maturity, the amount of the assumed obligation, conditions and term.</w:t>
      </w:r>
      <w:proofErr w:type="gramEnd"/>
    </w:p>
    <w:p w:rsidR="00CC7418" w:rsidRPr="00CC7418" w:rsidRDefault="00CC7418" w:rsidP="00CC7418">
      <w:pPr>
        <w:widowControl w:val="0"/>
        <w:autoSpaceDE w:val="0"/>
        <w:autoSpaceDN w:val="0"/>
        <w:adjustRightInd w:val="0"/>
        <w:jc w:val="both"/>
        <w:rPr>
          <w:b/>
          <w:bCs/>
          <w:lang w:val="en-US"/>
        </w:rPr>
      </w:pPr>
      <w:r w:rsidRPr="00CC7418">
        <w:rPr>
          <w:b/>
          <w:bCs/>
          <w:lang w:val="en-US"/>
        </w:rPr>
        <w:t xml:space="preserve"> </w:t>
      </w:r>
    </w:p>
    <w:p w:rsidR="00CC7418" w:rsidRPr="00CC7418" w:rsidRDefault="00CC7418" w:rsidP="00CC7418">
      <w:pPr>
        <w:spacing w:after="120"/>
        <w:ind w:right="29"/>
        <w:jc w:val="both"/>
        <w:rPr>
          <w:lang w:val="en-US" w:eastAsia="x-none"/>
        </w:rPr>
      </w:pPr>
      <w:r w:rsidRPr="00CC7418">
        <w:rPr>
          <w:lang w:val="en-US" w:eastAsia="x-none"/>
        </w:rPr>
        <w:t xml:space="preserve">As of 30 June 2015, loans </w:t>
      </w:r>
      <w:proofErr w:type="gramStart"/>
      <w:r w:rsidRPr="00CC7418">
        <w:rPr>
          <w:lang w:val="en-US" w:eastAsia="x-none"/>
        </w:rPr>
        <w:t>are granted</w:t>
      </w:r>
      <w:proofErr w:type="gramEnd"/>
      <w:r w:rsidRPr="00CC7418">
        <w:rPr>
          <w:lang w:val="en-US" w:eastAsia="x-none"/>
        </w:rPr>
        <w:t xml:space="preserve"> to “Bulrom Gas 2006” EOOD and DPD SA, Romania.</w:t>
      </w:r>
    </w:p>
    <w:tbl>
      <w:tblPr>
        <w:tblW w:w="9923" w:type="dxa"/>
        <w:tblInd w:w="108" w:type="dxa"/>
        <w:tblBorders>
          <w:top w:val="single" w:sz="18" w:space="0" w:color="auto"/>
          <w:bottom w:val="single" w:sz="18" w:space="0" w:color="auto"/>
        </w:tblBorders>
        <w:tblLayout w:type="fixed"/>
        <w:tblLook w:val="04E0" w:firstRow="1" w:lastRow="1" w:firstColumn="1" w:lastColumn="0" w:noHBand="0" w:noVBand="1"/>
      </w:tblPr>
      <w:tblGrid>
        <w:gridCol w:w="3544"/>
        <w:gridCol w:w="1418"/>
        <w:gridCol w:w="1559"/>
        <w:gridCol w:w="1276"/>
        <w:gridCol w:w="2126"/>
      </w:tblGrid>
      <w:tr w:rsidR="00CC7418" w:rsidRPr="00CC7418" w:rsidTr="00A60013">
        <w:trPr>
          <w:trHeight w:val="300"/>
        </w:trPr>
        <w:tc>
          <w:tcPr>
            <w:tcW w:w="3544" w:type="dxa"/>
            <w:tcBorders>
              <w:top w:val="single" w:sz="18" w:space="0" w:color="auto"/>
              <w:left w:val="nil"/>
              <w:bottom w:val="single" w:sz="18" w:space="0" w:color="auto"/>
              <w:right w:val="nil"/>
            </w:tcBorders>
            <w:shd w:val="clear" w:color="auto" w:fill="4F81BD"/>
            <w:noWrap/>
            <w:hideMark/>
          </w:tcPr>
          <w:p w:rsidR="00CC7418" w:rsidRPr="00CC7418" w:rsidRDefault="00CC7418" w:rsidP="00CC7418">
            <w:pPr>
              <w:spacing w:before="20" w:afterLines="20" w:after="48"/>
              <w:jc w:val="center"/>
              <w:rPr>
                <w:b/>
                <w:bCs/>
                <w:color w:val="FFFFFF"/>
                <w:lang w:val="en-US" w:eastAsia="bg-BG"/>
              </w:rPr>
            </w:pPr>
            <w:r w:rsidRPr="00CC7418">
              <w:rPr>
                <w:b/>
                <w:bCs/>
                <w:color w:val="FFFFFF"/>
                <w:lang w:val="en-US" w:eastAsia="bg-BG"/>
              </w:rPr>
              <w:t>Name, in thousand BGN</w:t>
            </w:r>
          </w:p>
        </w:tc>
        <w:tc>
          <w:tcPr>
            <w:tcW w:w="1418" w:type="dxa"/>
            <w:tcBorders>
              <w:top w:val="single" w:sz="18" w:space="0" w:color="auto"/>
              <w:left w:val="nil"/>
              <w:bottom w:val="single" w:sz="18" w:space="0" w:color="auto"/>
              <w:right w:val="nil"/>
            </w:tcBorders>
            <w:shd w:val="clear" w:color="auto" w:fill="4F81BD"/>
          </w:tcPr>
          <w:p w:rsidR="00CC7418" w:rsidRPr="00CC7418" w:rsidRDefault="00CC7418" w:rsidP="00CC7418">
            <w:pPr>
              <w:spacing w:before="20" w:afterLines="20" w:after="48"/>
              <w:ind w:right="-108"/>
              <w:jc w:val="center"/>
              <w:rPr>
                <w:b/>
                <w:bCs/>
                <w:color w:val="FFFFFF"/>
                <w:lang w:val="en-US" w:eastAsia="bg-BG"/>
              </w:rPr>
            </w:pPr>
            <w:r w:rsidRPr="00CC7418">
              <w:rPr>
                <w:b/>
                <w:bCs/>
                <w:color w:val="FFFFFF"/>
                <w:lang w:val="en-US" w:eastAsia="bg-BG"/>
              </w:rPr>
              <w:t>Amount</w:t>
            </w:r>
          </w:p>
        </w:tc>
        <w:tc>
          <w:tcPr>
            <w:tcW w:w="1559" w:type="dxa"/>
            <w:tcBorders>
              <w:top w:val="single" w:sz="18" w:space="0" w:color="auto"/>
              <w:left w:val="nil"/>
              <w:bottom w:val="single" w:sz="18" w:space="0" w:color="auto"/>
              <w:right w:val="nil"/>
            </w:tcBorders>
            <w:shd w:val="clear" w:color="auto" w:fill="4F81BD"/>
            <w:noWrap/>
            <w:hideMark/>
          </w:tcPr>
          <w:p w:rsidR="00CC7418" w:rsidRPr="00CC7418" w:rsidRDefault="00CC7418" w:rsidP="00CC7418">
            <w:pPr>
              <w:spacing w:before="20" w:afterLines="20" w:after="48"/>
              <w:ind w:left="-108" w:right="-108"/>
              <w:jc w:val="center"/>
              <w:rPr>
                <w:b/>
                <w:bCs/>
                <w:color w:val="FFFFFF"/>
                <w:lang w:val="en-US" w:eastAsia="bg-BG"/>
              </w:rPr>
            </w:pPr>
            <w:r w:rsidRPr="00CC7418">
              <w:rPr>
                <w:b/>
                <w:bCs/>
                <w:color w:val="FFFFFF"/>
                <w:lang w:val="en-US" w:eastAsia="bg-BG"/>
              </w:rPr>
              <w:t>Interest rate</w:t>
            </w:r>
          </w:p>
        </w:tc>
        <w:tc>
          <w:tcPr>
            <w:tcW w:w="1276" w:type="dxa"/>
            <w:tcBorders>
              <w:top w:val="single" w:sz="18" w:space="0" w:color="auto"/>
              <w:left w:val="nil"/>
              <w:bottom w:val="single" w:sz="18" w:space="0" w:color="auto"/>
              <w:right w:val="nil"/>
            </w:tcBorders>
            <w:shd w:val="clear" w:color="auto" w:fill="4F81BD"/>
            <w:noWrap/>
            <w:hideMark/>
          </w:tcPr>
          <w:p w:rsidR="00CC7418" w:rsidRPr="00CC7418" w:rsidRDefault="00CC7418" w:rsidP="00CC7418">
            <w:pPr>
              <w:spacing w:before="20" w:afterLines="20" w:after="48"/>
              <w:ind w:left="-108" w:right="-108"/>
              <w:jc w:val="center"/>
              <w:rPr>
                <w:b/>
                <w:bCs/>
                <w:color w:val="FFFFFF"/>
                <w:lang w:val="en-US" w:eastAsia="bg-BG"/>
              </w:rPr>
            </w:pPr>
            <w:r w:rsidRPr="00CC7418">
              <w:rPr>
                <w:b/>
                <w:bCs/>
                <w:color w:val="FFFFFF"/>
                <w:lang w:val="en-US" w:eastAsia="bg-BG"/>
              </w:rPr>
              <w:t>Maturity</w:t>
            </w:r>
          </w:p>
        </w:tc>
        <w:tc>
          <w:tcPr>
            <w:tcW w:w="2126" w:type="dxa"/>
            <w:tcBorders>
              <w:top w:val="single" w:sz="18" w:space="0" w:color="auto"/>
              <w:left w:val="nil"/>
              <w:bottom w:val="single" w:sz="18" w:space="0" w:color="auto"/>
              <w:right w:val="nil"/>
            </w:tcBorders>
            <w:shd w:val="clear" w:color="auto" w:fill="4F81BD"/>
            <w:noWrap/>
            <w:hideMark/>
          </w:tcPr>
          <w:p w:rsidR="00CC7418" w:rsidRPr="00CC7418" w:rsidRDefault="00CC7418" w:rsidP="00CC7418">
            <w:pPr>
              <w:spacing w:before="20" w:afterLines="20" w:after="48"/>
              <w:jc w:val="center"/>
              <w:rPr>
                <w:b/>
                <w:bCs/>
                <w:color w:val="FFFFFF"/>
                <w:lang w:val="en-US" w:eastAsia="bg-BG"/>
              </w:rPr>
            </w:pPr>
            <w:r w:rsidRPr="00CC7418">
              <w:rPr>
                <w:b/>
                <w:bCs/>
                <w:color w:val="FFFFFF"/>
                <w:lang w:val="en-US" w:eastAsia="bg-BG"/>
              </w:rPr>
              <w:t>Purpose</w:t>
            </w:r>
          </w:p>
        </w:tc>
      </w:tr>
      <w:tr w:rsidR="00CC7418" w:rsidRPr="00CC7418" w:rsidTr="00A60013">
        <w:trPr>
          <w:trHeight w:val="300"/>
        </w:trPr>
        <w:tc>
          <w:tcPr>
            <w:tcW w:w="3544" w:type="dxa"/>
            <w:tcBorders>
              <w:left w:val="nil"/>
              <w:bottom w:val="nil"/>
              <w:right w:val="nil"/>
            </w:tcBorders>
            <w:shd w:val="clear" w:color="auto" w:fill="4F81BD"/>
            <w:noWrap/>
            <w:hideMark/>
          </w:tcPr>
          <w:p w:rsidR="00CC7418" w:rsidRPr="00CC7418" w:rsidRDefault="00CC7418" w:rsidP="00CC7418">
            <w:pPr>
              <w:spacing w:before="20" w:afterLines="20" w:after="48"/>
              <w:rPr>
                <w:b/>
                <w:bCs/>
                <w:color w:val="FFFFFF"/>
                <w:lang w:val="en-US" w:eastAsia="bg-BG"/>
              </w:rPr>
            </w:pPr>
            <w:r w:rsidRPr="00CC7418">
              <w:rPr>
                <w:b/>
                <w:bCs/>
                <w:color w:val="FFFFFF"/>
                <w:lang w:val="en-US" w:eastAsia="bg-BG"/>
              </w:rPr>
              <w:t>“Bulrom Gas 2006” EOOD</w:t>
            </w:r>
          </w:p>
        </w:tc>
        <w:tc>
          <w:tcPr>
            <w:tcW w:w="1418" w:type="dxa"/>
            <w:shd w:val="clear" w:color="auto" w:fill="D8D8D8"/>
          </w:tcPr>
          <w:p w:rsidR="00CC7418" w:rsidRPr="00CC7418" w:rsidRDefault="00CC7418" w:rsidP="00CC7418">
            <w:pPr>
              <w:spacing w:before="20" w:afterLines="20" w:after="48"/>
              <w:jc w:val="right"/>
              <w:rPr>
                <w:lang w:val="en-US" w:eastAsia="bg-BG"/>
              </w:rPr>
            </w:pPr>
            <w:r w:rsidRPr="00CC7418">
              <w:rPr>
                <w:lang w:val="en-US" w:eastAsia="bg-BG"/>
              </w:rPr>
              <w:t>3 199</w:t>
            </w:r>
          </w:p>
        </w:tc>
        <w:tc>
          <w:tcPr>
            <w:tcW w:w="1559" w:type="dxa"/>
            <w:shd w:val="clear" w:color="auto" w:fill="D8D8D8"/>
            <w:noWrap/>
            <w:hideMark/>
          </w:tcPr>
          <w:p w:rsidR="00CC7418" w:rsidRPr="00CC7418" w:rsidRDefault="00CC7418" w:rsidP="00CC7418">
            <w:pPr>
              <w:spacing w:before="20" w:afterLines="20" w:after="48"/>
              <w:ind w:left="-108" w:right="-108"/>
              <w:jc w:val="center"/>
              <w:rPr>
                <w:lang w:val="en-US" w:eastAsia="bg-BG"/>
              </w:rPr>
            </w:pPr>
            <w:r w:rsidRPr="00CC7418">
              <w:rPr>
                <w:lang w:val="en-US" w:eastAsia="bg-BG"/>
              </w:rPr>
              <w:t>6%</w:t>
            </w:r>
          </w:p>
        </w:tc>
        <w:tc>
          <w:tcPr>
            <w:tcW w:w="1276" w:type="dxa"/>
            <w:shd w:val="clear" w:color="auto" w:fill="D8D8D8"/>
            <w:noWrap/>
            <w:hideMark/>
          </w:tcPr>
          <w:p w:rsidR="00CC7418" w:rsidRPr="00CC7418" w:rsidRDefault="00CC7418" w:rsidP="00CC7418">
            <w:pPr>
              <w:spacing w:before="20" w:afterLines="20" w:after="48"/>
              <w:ind w:left="-108" w:right="-108"/>
              <w:jc w:val="center"/>
              <w:rPr>
                <w:lang w:val="en-US" w:eastAsia="bg-BG"/>
              </w:rPr>
            </w:pPr>
            <w:r w:rsidRPr="00CC7418">
              <w:rPr>
                <w:lang w:val="en-US" w:eastAsia="bg-BG"/>
              </w:rPr>
              <w:t>31.12.2017</w:t>
            </w:r>
          </w:p>
        </w:tc>
        <w:tc>
          <w:tcPr>
            <w:tcW w:w="2126" w:type="dxa"/>
            <w:shd w:val="clear" w:color="auto" w:fill="D8D8D8"/>
            <w:noWrap/>
            <w:hideMark/>
          </w:tcPr>
          <w:p w:rsidR="00CC7418" w:rsidRPr="00CC7418" w:rsidRDefault="00CC7418" w:rsidP="00CC7418">
            <w:pPr>
              <w:spacing w:before="20" w:afterLines="20" w:after="48"/>
              <w:jc w:val="right"/>
              <w:rPr>
                <w:lang w:val="en-US" w:eastAsia="bg-BG"/>
              </w:rPr>
            </w:pPr>
            <w:r w:rsidRPr="00CC7418">
              <w:rPr>
                <w:lang w:val="en-US" w:eastAsia="bg-BG"/>
              </w:rPr>
              <w:t>Investment</w:t>
            </w:r>
          </w:p>
        </w:tc>
      </w:tr>
      <w:tr w:rsidR="00CC7418" w:rsidRPr="00CC7418" w:rsidTr="00A60013">
        <w:trPr>
          <w:trHeight w:val="300"/>
        </w:trPr>
        <w:tc>
          <w:tcPr>
            <w:tcW w:w="3544" w:type="dxa"/>
            <w:tcBorders>
              <w:left w:val="nil"/>
              <w:bottom w:val="nil"/>
              <w:right w:val="nil"/>
            </w:tcBorders>
            <w:shd w:val="clear" w:color="auto" w:fill="4F81BD"/>
            <w:noWrap/>
            <w:hideMark/>
          </w:tcPr>
          <w:p w:rsidR="00CC7418" w:rsidRPr="00CC7418" w:rsidRDefault="00CC7418" w:rsidP="00CC7418">
            <w:pPr>
              <w:spacing w:before="20" w:afterLines="20" w:after="48"/>
              <w:rPr>
                <w:b/>
                <w:bCs/>
                <w:color w:val="FFFFFF"/>
                <w:lang w:val="en-US" w:eastAsia="bg-BG"/>
              </w:rPr>
            </w:pPr>
            <w:r w:rsidRPr="00CC7418">
              <w:rPr>
                <w:b/>
                <w:bCs/>
                <w:color w:val="FFFFFF"/>
                <w:lang w:val="en-US" w:eastAsia="bg-BG"/>
              </w:rPr>
              <w:t>DPD SA, Romania</w:t>
            </w:r>
          </w:p>
        </w:tc>
        <w:tc>
          <w:tcPr>
            <w:tcW w:w="1418" w:type="dxa"/>
          </w:tcPr>
          <w:p w:rsidR="00CC7418" w:rsidRPr="00CC7418" w:rsidRDefault="00CC7418" w:rsidP="00CC7418">
            <w:pPr>
              <w:spacing w:before="20" w:afterLines="20" w:after="48"/>
              <w:jc w:val="right"/>
              <w:rPr>
                <w:lang w:val="en-US" w:eastAsia="bg-BG"/>
              </w:rPr>
            </w:pPr>
            <w:r w:rsidRPr="00CC7418">
              <w:rPr>
                <w:lang w:val="en-US" w:eastAsia="bg-BG"/>
              </w:rPr>
              <w:t>2 641</w:t>
            </w:r>
          </w:p>
        </w:tc>
        <w:tc>
          <w:tcPr>
            <w:tcW w:w="1559" w:type="dxa"/>
            <w:noWrap/>
            <w:hideMark/>
          </w:tcPr>
          <w:p w:rsidR="00CC7418" w:rsidRPr="00CC7418" w:rsidRDefault="00CC7418" w:rsidP="00CC7418">
            <w:pPr>
              <w:spacing w:before="20" w:afterLines="20" w:after="48"/>
              <w:ind w:left="-108" w:right="-108"/>
              <w:jc w:val="center"/>
              <w:rPr>
                <w:lang w:val="en-US" w:eastAsia="bg-BG"/>
              </w:rPr>
            </w:pPr>
            <w:r w:rsidRPr="00CC7418">
              <w:rPr>
                <w:lang w:val="en-US" w:eastAsia="bg-BG"/>
              </w:rPr>
              <w:t>4.5%</w:t>
            </w:r>
          </w:p>
        </w:tc>
        <w:tc>
          <w:tcPr>
            <w:tcW w:w="1276" w:type="dxa"/>
            <w:noWrap/>
            <w:hideMark/>
          </w:tcPr>
          <w:p w:rsidR="00CC7418" w:rsidRPr="00CC7418" w:rsidRDefault="00CC7418" w:rsidP="00CC7418">
            <w:pPr>
              <w:spacing w:before="20" w:afterLines="20" w:after="48"/>
              <w:ind w:left="-108" w:right="-108"/>
              <w:jc w:val="center"/>
              <w:rPr>
                <w:lang w:val="en-US" w:eastAsia="bg-BG"/>
              </w:rPr>
            </w:pPr>
            <w:r w:rsidRPr="00CC7418">
              <w:rPr>
                <w:lang w:val="en-US" w:eastAsia="bg-BG"/>
              </w:rPr>
              <w:t>15.12.2020</w:t>
            </w:r>
          </w:p>
        </w:tc>
        <w:tc>
          <w:tcPr>
            <w:tcW w:w="2126" w:type="dxa"/>
            <w:noWrap/>
            <w:hideMark/>
          </w:tcPr>
          <w:p w:rsidR="00CC7418" w:rsidRPr="00CC7418" w:rsidRDefault="00CC7418" w:rsidP="00CC7418">
            <w:pPr>
              <w:spacing w:before="20" w:afterLines="20" w:after="48"/>
              <w:jc w:val="right"/>
              <w:rPr>
                <w:lang w:val="en-US" w:eastAsia="bg-BG"/>
              </w:rPr>
            </w:pPr>
            <w:r w:rsidRPr="00CC7418">
              <w:rPr>
                <w:lang w:val="en-US" w:eastAsia="bg-BG"/>
              </w:rPr>
              <w:t>Investment</w:t>
            </w:r>
          </w:p>
        </w:tc>
      </w:tr>
      <w:tr w:rsidR="00CC7418" w:rsidRPr="00CC7418" w:rsidTr="00A60013">
        <w:trPr>
          <w:trHeight w:val="300"/>
        </w:trPr>
        <w:tc>
          <w:tcPr>
            <w:tcW w:w="3544" w:type="dxa"/>
            <w:tcBorders>
              <w:top w:val="double" w:sz="6" w:space="0" w:color="auto"/>
              <w:left w:val="nil"/>
              <w:bottom w:val="single" w:sz="18" w:space="0" w:color="auto"/>
              <w:right w:val="nil"/>
            </w:tcBorders>
            <w:shd w:val="clear" w:color="auto" w:fill="FFFFFF"/>
            <w:noWrap/>
            <w:hideMark/>
          </w:tcPr>
          <w:p w:rsidR="00CC7418" w:rsidRPr="00CC7418" w:rsidRDefault="00CC7418" w:rsidP="00CC7418">
            <w:pPr>
              <w:spacing w:before="20" w:afterLines="20" w:after="48"/>
              <w:rPr>
                <w:b/>
                <w:bCs/>
                <w:lang w:val="en-US" w:eastAsia="bg-BG"/>
              </w:rPr>
            </w:pPr>
            <w:r w:rsidRPr="00CC7418">
              <w:rPr>
                <w:b/>
                <w:bCs/>
                <w:lang w:val="en-US" w:eastAsia="bg-BG"/>
              </w:rPr>
              <w:t> TOTAL LOANS</w:t>
            </w:r>
          </w:p>
        </w:tc>
        <w:tc>
          <w:tcPr>
            <w:tcW w:w="1418" w:type="dxa"/>
            <w:tcBorders>
              <w:top w:val="double" w:sz="6" w:space="0" w:color="auto"/>
              <w:left w:val="nil"/>
              <w:bottom w:val="single" w:sz="18" w:space="0" w:color="auto"/>
              <w:right w:val="nil"/>
            </w:tcBorders>
            <w:shd w:val="clear" w:color="auto" w:fill="FFFFFF"/>
          </w:tcPr>
          <w:p w:rsidR="00CC7418" w:rsidRPr="00CC7418" w:rsidRDefault="00CC7418" w:rsidP="00CC7418">
            <w:pPr>
              <w:jc w:val="right"/>
              <w:rPr>
                <w:b/>
                <w:color w:val="000000"/>
                <w:lang w:val="en-US"/>
              </w:rPr>
            </w:pPr>
            <w:r w:rsidRPr="00CC7418">
              <w:rPr>
                <w:b/>
                <w:color w:val="000000"/>
                <w:lang w:val="en-US"/>
              </w:rPr>
              <w:t>4 132</w:t>
            </w:r>
          </w:p>
        </w:tc>
        <w:tc>
          <w:tcPr>
            <w:tcW w:w="1559" w:type="dxa"/>
            <w:tcBorders>
              <w:top w:val="double" w:sz="6" w:space="0" w:color="auto"/>
              <w:left w:val="nil"/>
              <w:bottom w:val="single" w:sz="18" w:space="0" w:color="auto"/>
              <w:right w:val="nil"/>
            </w:tcBorders>
            <w:shd w:val="clear" w:color="auto" w:fill="FFFFFF"/>
            <w:noWrap/>
            <w:hideMark/>
          </w:tcPr>
          <w:p w:rsidR="00CC7418" w:rsidRPr="00CC7418" w:rsidRDefault="00CC7418" w:rsidP="00CC7418">
            <w:pPr>
              <w:ind w:left="-108" w:right="-108"/>
              <w:jc w:val="center"/>
              <w:rPr>
                <w:b/>
                <w:color w:val="000000"/>
                <w:lang w:val="en-US"/>
              </w:rPr>
            </w:pPr>
          </w:p>
        </w:tc>
        <w:tc>
          <w:tcPr>
            <w:tcW w:w="1276" w:type="dxa"/>
            <w:tcBorders>
              <w:top w:val="double" w:sz="6" w:space="0" w:color="auto"/>
              <w:left w:val="nil"/>
              <w:bottom w:val="single" w:sz="18" w:space="0" w:color="auto"/>
              <w:right w:val="nil"/>
            </w:tcBorders>
            <w:shd w:val="clear" w:color="auto" w:fill="FFFFFF"/>
            <w:noWrap/>
            <w:hideMark/>
          </w:tcPr>
          <w:p w:rsidR="00CC7418" w:rsidRPr="00CC7418" w:rsidRDefault="00CC7418" w:rsidP="00CC7418">
            <w:pPr>
              <w:ind w:left="-108" w:right="-108"/>
              <w:jc w:val="center"/>
              <w:rPr>
                <w:b/>
                <w:color w:val="000000"/>
                <w:lang w:val="en-US"/>
              </w:rPr>
            </w:pPr>
          </w:p>
        </w:tc>
        <w:tc>
          <w:tcPr>
            <w:tcW w:w="2126" w:type="dxa"/>
            <w:tcBorders>
              <w:top w:val="double" w:sz="6" w:space="0" w:color="auto"/>
              <w:left w:val="nil"/>
              <w:bottom w:val="single" w:sz="18" w:space="0" w:color="auto"/>
              <w:right w:val="nil"/>
            </w:tcBorders>
            <w:shd w:val="clear" w:color="auto" w:fill="FFFFFF"/>
            <w:noWrap/>
            <w:hideMark/>
          </w:tcPr>
          <w:p w:rsidR="00CC7418" w:rsidRPr="00CC7418" w:rsidRDefault="00CC7418" w:rsidP="00CC7418">
            <w:pPr>
              <w:jc w:val="right"/>
              <w:rPr>
                <w:b/>
                <w:color w:val="000000"/>
                <w:lang w:val="en-US"/>
              </w:rPr>
            </w:pPr>
          </w:p>
        </w:tc>
      </w:tr>
    </w:tbl>
    <w:p w:rsidR="00CC7418" w:rsidRPr="00CC7418" w:rsidRDefault="00CC7418" w:rsidP="00CC7418">
      <w:pPr>
        <w:spacing w:line="288" w:lineRule="auto"/>
        <w:jc w:val="both"/>
        <w:rPr>
          <w:lang w:val="en-US" w:eastAsia="x-none"/>
        </w:rPr>
      </w:pPr>
    </w:p>
    <w:p w:rsidR="00CC7418" w:rsidRPr="00CC7418" w:rsidRDefault="00CC7418" w:rsidP="00CC7418">
      <w:pPr>
        <w:spacing w:after="120"/>
        <w:ind w:right="-180"/>
        <w:jc w:val="both"/>
        <w:rPr>
          <w:lang w:val="en-US" w:eastAsia="x-none"/>
        </w:rPr>
      </w:pPr>
      <w:r w:rsidRPr="00CC7418">
        <w:rPr>
          <w:lang w:val="en-US" w:eastAsia="x-none"/>
        </w:rPr>
        <w:t>“Bulrom Gas 2006” EOOD and “Speedy</w:t>
      </w:r>
      <w:proofErr w:type="gramStart"/>
      <w:r w:rsidRPr="00CC7418">
        <w:rPr>
          <w:lang w:val="en-US" w:eastAsia="x-none"/>
        </w:rPr>
        <w:t>“ AD</w:t>
      </w:r>
      <w:proofErr w:type="gramEnd"/>
      <w:r w:rsidRPr="00CC7418">
        <w:rPr>
          <w:lang w:val="en-US" w:eastAsia="x-none"/>
        </w:rPr>
        <w:t xml:space="preserve"> are controlled by </w:t>
      </w:r>
      <w:r w:rsidRPr="00CC7418">
        <w:rPr>
          <w:color w:val="241E1C"/>
          <w:spacing w:val="-1"/>
          <w:sz w:val="22"/>
          <w:szCs w:val="22"/>
          <w:lang w:val="en-US" w:eastAsia="x-none"/>
        </w:rPr>
        <w:t>Valery Mektupchiyan</w:t>
      </w:r>
      <w:r w:rsidRPr="00CC7418">
        <w:rPr>
          <w:lang w:val="en-US" w:eastAsia="x-none"/>
        </w:rPr>
        <w:t>. DPD SA, Romania is a subsidiary of “Speedy</w:t>
      </w:r>
      <w:proofErr w:type="gramStart"/>
      <w:r w:rsidRPr="00CC7418">
        <w:rPr>
          <w:lang w:val="en-US" w:eastAsia="x-none"/>
        </w:rPr>
        <w:t>“ AD</w:t>
      </w:r>
      <w:proofErr w:type="gramEnd"/>
    </w:p>
    <w:p w:rsidR="00CC7418" w:rsidRPr="00CC7418" w:rsidRDefault="00CC7418" w:rsidP="00CC7418">
      <w:pPr>
        <w:spacing w:after="120"/>
        <w:ind w:right="-180"/>
        <w:jc w:val="both"/>
        <w:rPr>
          <w:lang w:val="en-US" w:eastAsia="x-none"/>
        </w:rPr>
      </w:pPr>
      <w:r w:rsidRPr="00CC7418">
        <w:rPr>
          <w:lang w:val="en-US" w:eastAsia="x-none"/>
        </w:rPr>
        <w:t>The loans have no collateral.</w:t>
      </w:r>
    </w:p>
    <w:p w:rsidR="004C4517" w:rsidRPr="00746EDE" w:rsidRDefault="004C4517" w:rsidP="0038593A">
      <w:pPr>
        <w:widowControl w:val="0"/>
        <w:autoSpaceDE w:val="0"/>
        <w:autoSpaceDN w:val="0"/>
        <w:adjustRightInd w:val="0"/>
        <w:spacing w:line="288" w:lineRule="auto"/>
        <w:jc w:val="both"/>
        <w:rPr>
          <w:b/>
        </w:rPr>
      </w:pPr>
    </w:p>
    <w:p w:rsidR="00CC7418" w:rsidRPr="00CC7418" w:rsidRDefault="00CC7418" w:rsidP="00CC7418">
      <w:pPr>
        <w:widowControl w:val="0"/>
        <w:autoSpaceDE w:val="0"/>
        <w:autoSpaceDN w:val="0"/>
        <w:adjustRightInd w:val="0"/>
        <w:jc w:val="both"/>
        <w:rPr>
          <w:b/>
          <w:bCs/>
          <w:lang w:val="en-US"/>
        </w:rPr>
      </w:pPr>
      <w:r w:rsidRPr="00CC7418">
        <w:rPr>
          <w:b/>
          <w:bCs/>
          <w:lang w:val="en-US"/>
        </w:rPr>
        <w:t xml:space="preserve">9. Information about related </w:t>
      </w:r>
      <w:proofErr w:type="gramStart"/>
      <w:r w:rsidRPr="00CC7418">
        <w:rPr>
          <w:b/>
          <w:bCs/>
          <w:lang w:val="en-US"/>
        </w:rPr>
        <w:t>parties</w:t>
      </w:r>
      <w:proofErr w:type="gramEnd"/>
      <w:r w:rsidRPr="00CC7418">
        <w:rPr>
          <w:b/>
          <w:bCs/>
          <w:lang w:val="en-US"/>
        </w:rPr>
        <w:t xml:space="preserve"> transactions.</w:t>
      </w:r>
    </w:p>
    <w:p w:rsidR="004C2BDF" w:rsidRPr="004C2BDF" w:rsidRDefault="004C2BDF" w:rsidP="004C2BDF">
      <w:pPr>
        <w:pStyle w:val="BodyText"/>
        <w:spacing w:after="120"/>
        <w:ind w:right="-180"/>
        <w:rPr>
          <w:lang w:val="en-GB"/>
        </w:rPr>
      </w:pPr>
      <w:r w:rsidRPr="004C2BDF">
        <w:rPr>
          <w:lang w:val="en-GB"/>
        </w:rPr>
        <w:lastRenderedPageBreak/>
        <w:t xml:space="preserve">In 2015, there are no related </w:t>
      </w:r>
      <w:proofErr w:type="gramStart"/>
      <w:r w:rsidRPr="004C2BDF">
        <w:rPr>
          <w:lang w:val="en-GB"/>
        </w:rPr>
        <w:t>parties</w:t>
      </w:r>
      <w:proofErr w:type="gramEnd"/>
      <w:r w:rsidRPr="004C2BDF">
        <w:rPr>
          <w:lang w:val="en-GB"/>
        </w:rPr>
        <w:t xml:space="preserve"> transactions with substantial amount and/or such that have substantially affected the financial standing or the results of the company during the reporting period.</w:t>
      </w:r>
    </w:p>
    <w:p w:rsidR="004C2BDF" w:rsidRPr="004C2BDF" w:rsidRDefault="004C2BDF" w:rsidP="004C2BDF">
      <w:pPr>
        <w:pStyle w:val="BodyText"/>
        <w:spacing w:after="120"/>
        <w:ind w:right="-180"/>
        <w:rPr>
          <w:lang w:val="en-GB"/>
        </w:rPr>
      </w:pPr>
      <w:r w:rsidRPr="004C2BDF">
        <w:rPr>
          <w:lang w:val="en-GB"/>
        </w:rPr>
        <w:t xml:space="preserve">There are no related </w:t>
      </w:r>
      <w:proofErr w:type="gramStart"/>
      <w:r w:rsidRPr="004C2BDF">
        <w:rPr>
          <w:lang w:val="en-GB"/>
        </w:rPr>
        <w:t>parties</w:t>
      </w:r>
      <w:proofErr w:type="gramEnd"/>
      <w:r w:rsidRPr="004C2BDF">
        <w:rPr>
          <w:lang w:val="en-GB"/>
        </w:rPr>
        <w:t xml:space="preserve"> transactions, which go beyond the </w:t>
      </w:r>
      <w:r>
        <w:rPr>
          <w:lang w:val="en-GB"/>
        </w:rPr>
        <w:t>regular business operations</w:t>
      </w:r>
      <w:r w:rsidRPr="004C2BDF">
        <w:rPr>
          <w:lang w:val="en-GB"/>
        </w:rPr>
        <w:t xml:space="preserve"> or considerably deviate from the market conditions.</w:t>
      </w:r>
    </w:p>
    <w:p w:rsidR="004C2BDF" w:rsidRPr="004C2BDF" w:rsidRDefault="004C2BDF" w:rsidP="004C2BDF">
      <w:pPr>
        <w:pStyle w:val="BodyText"/>
        <w:spacing w:after="120"/>
        <w:ind w:right="-180"/>
        <w:rPr>
          <w:lang w:val="en-GB"/>
        </w:rPr>
      </w:pPr>
      <w:r w:rsidRPr="004C2BDF">
        <w:rPr>
          <w:lang w:val="en-GB"/>
        </w:rPr>
        <w:t xml:space="preserve">All transactions between related parties </w:t>
      </w:r>
      <w:proofErr w:type="gramStart"/>
      <w:r w:rsidRPr="004C2BDF">
        <w:rPr>
          <w:lang w:val="en-GB"/>
        </w:rPr>
        <w:t>are disclosed</w:t>
      </w:r>
      <w:proofErr w:type="gramEnd"/>
      <w:r w:rsidRPr="004C2BDF">
        <w:rPr>
          <w:lang w:val="en-GB"/>
        </w:rPr>
        <w:t xml:space="preserve"> in the Appendix to the Financial Statement.</w:t>
      </w:r>
    </w:p>
    <w:p w:rsidR="004C2BDF" w:rsidRPr="004C2BDF" w:rsidRDefault="004C2BDF" w:rsidP="004C2BDF">
      <w:pPr>
        <w:pStyle w:val="BodyText"/>
        <w:spacing w:after="120"/>
        <w:ind w:right="-180"/>
        <w:rPr>
          <w:lang w:val="en-GB"/>
        </w:rPr>
      </w:pPr>
    </w:p>
    <w:p w:rsidR="004C2BDF" w:rsidRPr="004C2BDF" w:rsidRDefault="004C2BDF" w:rsidP="004C2BDF">
      <w:pPr>
        <w:pStyle w:val="BodyText"/>
        <w:spacing w:after="120"/>
        <w:ind w:right="-180"/>
        <w:rPr>
          <w:lang w:val="en-GB"/>
        </w:rPr>
      </w:pPr>
    </w:p>
    <w:p w:rsidR="004C2BDF" w:rsidRPr="004C2BDF" w:rsidRDefault="004C2BDF" w:rsidP="004C2BDF">
      <w:pPr>
        <w:pStyle w:val="BodyText"/>
        <w:spacing w:after="120"/>
        <w:ind w:right="-180"/>
        <w:rPr>
          <w:lang w:val="en-GB"/>
        </w:rPr>
      </w:pPr>
      <w:r w:rsidRPr="004C2BDF">
        <w:rPr>
          <w:lang w:val="en-GB"/>
        </w:rPr>
        <w:t>Krasimir Tahchiev</w:t>
      </w:r>
      <w:r w:rsidRPr="004C2BDF">
        <w:rPr>
          <w:lang w:val="en-GB"/>
        </w:rPr>
        <w:tab/>
      </w:r>
      <w:r w:rsidRPr="004C2BDF">
        <w:rPr>
          <w:lang w:val="en-GB"/>
        </w:rPr>
        <w:tab/>
      </w:r>
      <w:r w:rsidRPr="004C2BDF">
        <w:rPr>
          <w:lang w:val="en-GB"/>
        </w:rPr>
        <w:tab/>
      </w:r>
      <w:r w:rsidRPr="004C2BDF">
        <w:rPr>
          <w:lang w:val="en-GB"/>
        </w:rPr>
        <w:tab/>
      </w:r>
      <w:r w:rsidRPr="004C2BDF">
        <w:rPr>
          <w:lang w:val="en-GB"/>
        </w:rPr>
        <w:tab/>
      </w:r>
      <w:r w:rsidRPr="004C2BDF">
        <w:rPr>
          <w:lang w:val="en-GB"/>
        </w:rPr>
        <w:tab/>
      </w:r>
      <w:r w:rsidRPr="004C2BDF">
        <w:rPr>
          <w:lang w:val="en-GB"/>
        </w:rPr>
        <w:tab/>
        <w:t>Valery Mektupchiyan</w:t>
      </w:r>
    </w:p>
    <w:p w:rsidR="00CD716F" w:rsidRPr="00746EDE" w:rsidRDefault="004C2BDF" w:rsidP="004C2BDF">
      <w:pPr>
        <w:pStyle w:val="BodyText"/>
        <w:spacing w:after="120"/>
        <w:ind w:right="-180"/>
        <w:rPr>
          <w:lang w:val="en-GB"/>
        </w:rPr>
      </w:pPr>
      <w:r w:rsidRPr="004C2BDF">
        <w:rPr>
          <w:lang w:val="en-GB"/>
        </w:rPr>
        <w:t>Investor Relations Director</w:t>
      </w:r>
      <w:r w:rsidRPr="004C2BDF">
        <w:rPr>
          <w:lang w:val="en-GB"/>
        </w:rPr>
        <w:tab/>
      </w:r>
      <w:r w:rsidRPr="004C2BDF">
        <w:rPr>
          <w:lang w:val="en-GB"/>
        </w:rPr>
        <w:tab/>
      </w:r>
      <w:r w:rsidRPr="004C2BDF">
        <w:rPr>
          <w:lang w:val="en-GB"/>
        </w:rPr>
        <w:tab/>
      </w:r>
      <w:r w:rsidRPr="004C2BDF">
        <w:rPr>
          <w:lang w:val="en-GB"/>
        </w:rPr>
        <w:tab/>
      </w:r>
      <w:r w:rsidRPr="004C2BDF">
        <w:rPr>
          <w:lang w:val="en-GB"/>
        </w:rPr>
        <w:tab/>
      </w:r>
      <w:r w:rsidRPr="004C2BDF">
        <w:rPr>
          <w:lang w:val="en-GB"/>
        </w:rPr>
        <w:tab/>
        <w:t>Executive Director</w:t>
      </w:r>
    </w:p>
    <w:sectPr w:rsidR="00CD716F" w:rsidRPr="00746EDE" w:rsidSect="00B86E85">
      <w:headerReference w:type="default" r:id="rId8"/>
      <w:footerReference w:type="default" r:id="rId9"/>
      <w:pgSz w:w="11906" w:h="16838"/>
      <w:pgMar w:top="1260" w:right="836" w:bottom="1080"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33F" w:rsidRDefault="00E3033F" w:rsidP="00302B06">
      <w:r>
        <w:separator/>
      </w:r>
    </w:p>
  </w:endnote>
  <w:endnote w:type="continuationSeparator" w:id="0">
    <w:p w:rsidR="00E3033F" w:rsidRDefault="00E3033F" w:rsidP="0030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msCyr">
    <w:altName w:val="Times New Roman"/>
    <w:charset w:val="00"/>
    <w:family w:val="roman"/>
    <w:pitch w:val="variable"/>
    <w:sig w:usb0="00000001" w:usb1="00000000" w:usb2="00000000" w:usb3="00000000" w:csb0="0000001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0E" w:rsidRDefault="0022640E">
    <w:pPr>
      <w:pStyle w:val="Footer"/>
      <w:ind w:right="360"/>
      <w:jc w:val="center"/>
      <w:rPr>
        <w:rFonts w:ascii="Arial Black" w:hAnsi="Arial Black" w:cs="Arial"/>
        <w:color w:val="999999"/>
        <w:sz w:val="28"/>
        <w:lang w:val="bg-BG"/>
      </w:rPr>
    </w:pPr>
    <w:r>
      <w:rPr>
        <w:rFonts w:ascii="Arial Black" w:hAnsi="Arial Black" w:cs="Arial"/>
        <w:color w:val="999999"/>
        <w:sz w:val="28"/>
        <w:lang w:val="bg-BG"/>
      </w:rPr>
      <w:t>-----------------------------------------------------------------------------------------------------</w:t>
    </w:r>
  </w:p>
  <w:p w:rsidR="0022640E" w:rsidRDefault="004C2BDF">
    <w:pPr>
      <w:pStyle w:val="Footer"/>
      <w:ind w:right="360"/>
      <w:jc w:val="right"/>
      <w:rPr>
        <w:rFonts w:ascii="Arial Black" w:hAnsi="Arial Black"/>
        <w:color w:val="999999"/>
        <w:sz w:val="16"/>
        <w:lang w:val="bg-BG"/>
      </w:rPr>
    </w:pPr>
    <w:proofErr w:type="gramStart"/>
    <w:r>
      <w:rPr>
        <w:rFonts w:ascii="Arial Black" w:hAnsi="Arial Black" w:cs="Arial"/>
        <w:color w:val="999999"/>
        <w:sz w:val="16"/>
        <w:lang w:val="en-US"/>
      </w:rPr>
      <w:t>page</w:t>
    </w:r>
    <w:proofErr w:type="gramEnd"/>
    <w:r w:rsidR="0022640E">
      <w:rPr>
        <w:rFonts w:ascii="Arial Black" w:hAnsi="Arial Black" w:cs="Arial"/>
        <w:color w:val="999999"/>
        <w:sz w:val="16"/>
        <w:lang w:val="bg-BG"/>
      </w:rPr>
      <w:t xml:space="preserve"> </w:t>
    </w:r>
    <w:r w:rsidR="0022640E">
      <w:rPr>
        <w:rStyle w:val="PageNumber"/>
        <w:rFonts w:ascii="Arial Black" w:hAnsi="Arial Black"/>
        <w:color w:val="999999"/>
        <w:sz w:val="16"/>
      </w:rPr>
      <w:fldChar w:fldCharType="begin"/>
    </w:r>
    <w:r w:rsidR="0022640E">
      <w:rPr>
        <w:rStyle w:val="PageNumber"/>
        <w:rFonts w:ascii="Arial Black" w:hAnsi="Arial Black"/>
        <w:color w:val="999999"/>
        <w:sz w:val="16"/>
      </w:rPr>
      <w:instrText xml:space="preserve"> PAGE </w:instrText>
    </w:r>
    <w:r w:rsidR="0022640E">
      <w:rPr>
        <w:rStyle w:val="PageNumber"/>
        <w:rFonts w:ascii="Arial Black" w:hAnsi="Arial Black"/>
        <w:color w:val="999999"/>
        <w:sz w:val="16"/>
      </w:rPr>
      <w:fldChar w:fldCharType="separate"/>
    </w:r>
    <w:r>
      <w:rPr>
        <w:rStyle w:val="PageNumber"/>
        <w:rFonts w:ascii="Arial Black" w:hAnsi="Arial Black"/>
        <w:noProof/>
        <w:color w:val="999999"/>
        <w:sz w:val="16"/>
      </w:rPr>
      <w:t>1</w:t>
    </w:r>
    <w:r w:rsidR="0022640E">
      <w:rPr>
        <w:rStyle w:val="PageNumber"/>
        <w:rFonts w:ascii="Arial Black" w:hAnsi="Arial Black"/>
        <w:color w:val="999999"/>
        <w:sz w:val="16"/>
      </w:rPr>
      <w:fldChar w:fldCharType="end"/>
    </w:r>
    <w:r w:rsidR="0022640E">
      <w:rPr>
        <w:rStyle w:val="PageNumber"/>
        <w:rFonts w:ascii="Arial Black" w:hAnsi="Arial Black"/>
        <w:color w:val="999999"/>
        <w:sz w:val="16"/>
        <w:lang w:val="bg-BG"/>
      </w:rPr>
      <w:t xml:space="preserve"> </w:t>
    </w:r>
    <w:r>
      <w:rPr>
        <w:rStyle w:val="PageNumber"/>
        <w:rFonts w:ascii="Arial Black" w:hAnsi="Arial Black"/>
        <w:color w:val="999999"/>
        <w:sz w:val="16"/>
        <w:lang w:val="en-US"/>
      </w:rPr>
      <w:t>of</w:t>
    </w:r>
    <w:r w:rsidR="0022640E">
      <w:rPr>
        <w:rStyle w:val="PageNumber"/>
        <w:rFonts w:ascii="Arial Black" w:hAnsi="Arial Black"/>
        <w:color w:val="999999"/>
        <w:sz w:val="16"/>
        <w:lang w:val="bg-BG"/>
      </w:rPr>
      <w:t xml:space="preserve"> </w:t>
    </w:r>
    <w:r w:rsidR="0022640E">
      <w:rPr>
        <w:rStyle w:val="PageNumber"/>
        <w:rFonts w:ascii="Arial Black" w:hAnsi="Arial Black"/>
        <w:color w:val="999999"/>
        <w:sz w:val="16"/>
      </w:rPr>
      <w:fldChar w:fldCharType="begin"/>
    </w:r>
    <w:r w:rsidR="0022640E">
      <w:rPr>
        <w:rStyle w:val="PageNumber"/>
        <w:rFonts w:ascii="Arial Black" w:hAnsi="Arial Black"/>
        <w:color w:val="999999"/>
        <w:sz w:val="16"/>
      </w:rPr>
      <w:instrText xml:space="preserve"> NUMPAGES </w:instrText>
    </w:r>
    <w:r w:rsidR="0022640E">
      <w:rPr>
        <w:rStyle w:val="PageNumber"/>
        <w:rFonts w:ascii="Arial Black" w:hAnsi="Arial Black"/>
        <w:color w:val="999999"/>
        <w:sz w:val="16"/>
      </w:rPr>
      <w:fldChar w:fldCharType="separate"/>
    </w:r>
    <w:r>
      <w:rPr>
        <w:rStyle w:val="PageNumber"/>
        <w:rFonts w:ascii="Arial Black" w:hAnsi="Arial Black"/>
        <w:noProof/>
        <w:color w:val="999999"/>
        <w:sz w:val="16"/>
      </w:rPr>
      <w:t>10</w:t>
    </w:r>
    <w:r w:rsidR="0022640E">
      <w:rPr>
        <w:rStyle w:val="PageNumber"/>
        <w:rFonts w:ascii="Arial Black" w:hAnsi="Arial Black"/>
        <w:color w:val="999999"/>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33F" w:rsidRDefault="00E3033F" w:rsidP="00302B06">
      <w:r>
        <w:separator/>
      </w:r>
    </w:p>
  </w:footnote>
  <w:footnote w:type="continuationSeparator" w:id="0">
    <w:p w:rsidR="00E3033F" w:rsidRDefault="00E3033F" w:rsidP="00302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0E" w:rsidRDefault="0022640E" w:rsidP="00B46CAE">
    <w:pPr>
      <w:pStyle w:val="Header"/>
      <w:tabs>
        <w:tab w:val="clear" w:pos="4153"/>
        <w:tab w:val="clear" w:pos="8306"/>
        <w:tab w:val="left" w:pos="1454"/>
      </w:tabs>
      <w:ind w:right="-283"/>
      <w:rPr>
        <w:rFonts w:ascii="Arial Black" w:hAnsi="Arial Black" w:cs="Arial"/>
        <w:sz w:val="16"/>
        <w:lang w:val="bg-BG"/>
      </w:rPr>
    </w:pPr>
  </w:p>
  <w:p w:rsidR="0022640E" w:rsidRDefault="0022640E">
    <w:pPr>
      <w:pStyle w:val="Header"/>
      <w:ind w:right="-283"/>
      <w:rPr>
        <w:rFonts w:ascii="Arial Black" w:hAnsi="Arial Black"/>
        <w:sz w:val="28"/>
        <w:lang w:val="bg-BG"/>
      </w:rPr>
    </w:pPr>
    <w:r>
      <w:rPr>
        <w:rFonts w:ascii="Arial Black" w:hAnsi="Arial Black" w:cs="Arial"/>
        <w:sz w:val="16"/>
        <w:lang w:val="bg-BG"/>
      </w:rPr>
      <w:tab/>
    </w:r>
    <w:r>
      <w:rPr>
        <w:rFonts w:ascii="Arial Black" w:hAnsi="Arial Black"/>
        <w:color w:val="999999"/>
        <w:sz w:val="28"/>
        <w:lang w:val="bg-BG"/>
      </w:rPr>
      <w:t>........................................................................................................</w:t>
    </w:r>
  </w:p>
  <w:p w:rsidR="0022640E" w:rsidRDefault="002264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65716"/>
    <w:multiLevelType w:val="multilevel"/>
    <w:tmpl w:val="79AE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96B0E"/>
    <w:multiLevelType w:val="hybridMultilevel"/>
    <w:tmpl w:val="74D80A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63F2B3A"/>
    <w:multiLevelType w:val="hybridMultilevel"/>
    <w:tmpl w:val="236ADE8A"/>
    <w:lvl w:ilvl="0" w:tplc="04020005">
      <w:start w:val="1"/>
      <w:numFmt w:val="bullet"/>
      <w:lvlText w:val=""/>
      <w:lvlJc w:val="left"/>
      <w:pPr>
        <w:tabs>
          <w:tab w:val="num" w:pos="1566"/>
        </w:tabs>
        <w:ind w:left="1566" w:hanging="360"/>
      </w:pPr>
      <w:rPr>
        <w:rFonts w:ascii="Wingdings" w:hAnsi="Wingdings"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 w15:restartNumberingAfterBreak="0">
    <w:nsid w:val="1D404D96"/>
    <w:multiLevelType w:val="hybridMultilevel"/>
    <w:tmpl w:val="55F8A6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D916A16"/>
    <w:multiLevelType w:val="multilevel"/>
    <w:tmpl w:val="1FCE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70334"/>
    <w:multiLevelType w:val="multilevel"/>
    <w:tmpl w:val="2B76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982E10"/>
    <w:multiLevelType w:val="multilevel"/>
    <w:tmpl w:val="C604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6593E"/>
    <w:multiLevelType w:val="multilevel"/>
    <w:tmpl w:val="BECE7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BE4728"/>
    <w:multiLevelType w:val="multilevel"/>
    <w:tmpl w:val="1FEE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207C1E"/>
    <w:multiLevelType w:val="multilevel"/>
    <w:tmpl w:val="B6B6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CB662F"/>
    <w:multiLevelType w:val="hybridMultilevel"/>
    <w:tmpl w:val="AA1C8B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46D36278"/>
    <w:multiLevelType w:val="multilevel"/>
    <w:tmpl w:val="DF1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A3612F"/>
    <w:multiLevelType w:val="multilevel"/>
    <w:tmpl w:val="16D0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B2511E"/>
    <w:multiLevelType w:val="multilevel"/>
    <w:tmpl w:val="7416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C03831"/>
    <w:multiLevelType w:val="hybridMultilevel"/>
    <w:tmpl w:val="CD54CA72"/>
    <w:lvl w:ilvl="0" w:tplc="04020005">
      <w:start w:val="1"/>
      <w:numFmt w:val="bullet"/>
      <w:lvlText w:val=""/>
      <w:lvlJc w:val="left"/>
      <w:pPr>
        <w:tabs>
          <w:tab w:val="num" w:pos="783"/>
        </w:tabs>
        <w:ind w:left="783" w:hanging="360"/>
      </w:pPr>
      <w:rPr>
        <w:rFonts w:ascii="Wingdings" w:hAnsi="Wingdings" w:hint="default"/>
      </w:rPr>
    </w:lvl>
    <w:lvl w:ilvl="1" w:tplc="04020003">
      <w:start w:val="1"/>
      <w:numFmt w:val="bullet"/>
      <w:lvlText w:val="o"/>
      <w:lvlJc w:val="left"/>
      <w:pPr>
        <w:tabs>
          <w:tab w:val="num" w:pos="1503"/>
        </w:tabs>
        <w:ind w:left="1503" w:hanging="360"/>
      </w:pPr>
      <w:rPr>
        <w:rFonts w:ascii="Courier New" w:hAnsi="Courier New" w:cs="Courier New" w:hint="default"/>
      </w:rPr>
    </w:lvl>
    <w:lvl w:ilvl="2" w:tplc="04020005" w:tentative="1">
      <w:start w:val="1"/>
      <w:numFmt w:val="bullet"/>
      <w:lvlText w:val=""/>
      <w:lvlJc w:val="left"/>
      <w:pPr>
        <w:tabs>
          <w:tab w:val="num" w:pos="2223"/>
        </w:tabs>
        <w:ind w:left="2223" w:hanging="360"/>
      </w:pPr>
      <w:rPr>
        <w:rFonts w:ascii="Wingdings" w:hAnsi="Wingdings" w:hint="default"/>
      </w:rPr>
    </w:lvl>
    <w:lvl w:ilvl="3" w:tplc="04020001" w:tentative="1">
      <w:start w:val="1"/>
      <w:numFmt w:val="bullet"/>
      <w:lvlText w:val=""/>
      <w:lvlJc w:val="left"/>
      <w:pPr>
        <w:tabs>
          <w:tab w:val="num" w:pos="2943"/>
        </w:tabs>
        <w:ind w:left="2943" w:hanging="360"/>
      </w:pPr>
      <w:rPr>
        <w:rFonts w:ascii="Symbol" w:hAnsi="Symbol" w:hint="default"/>
      </w:rPr>
    </w:lvl>
    <w:lvl w:ilvl="4" w:tplc="04020003" w:tentative="1">
      <w:start w:val="1"/>
      <w:numFmt w:val="bullet"/>
      <w:lvlText w:val="o"/>
      <w:lvlJc w:val="left"/>
      <w:pPr>
        <w:tabs>
          <w:tab w:val="num" w:pos="3663"/>
        </w:tabs>
        <w:ind w:left="3663" w:hanging="360"/>
      </w:pPr>
      <w:rPr>
        <w:rFonts w:ascii="Courier New" w:hAnsi="Courier New" w:cs="Courier New" w:hint="default"/>
      </w:rPr>
    </w:lvl>
    <w:lvl w:ilvl="5" w:tplc="04020005" w:tentative="1">
      <w:start w:val="1"/>
      <w:numFmt w:val="bullet"/>
      <w:lvlText w:val=""/>
      <w:lvlJc w:val="left"/>
      <w:pPr>
        <w:tabs>
          <w:tab w:val="num" w:pos="4383"/>
        </w:tabs>
        <w:ind w:left="4383" w:hanging="360"/>
      </w:pPr>
      <w:rPr>
        <w:rFonts w:ascii="Wingdings" w:hAnsi="Wingdings" w:hint="default"/>
      </w:rPr>
    </w:lvl>
    <w:lvl w:ilvl="6" w:tplc="04020001" w:tentative="1">
      <w:start w:val="1"/>
      <w:numFmt w:val="bullet"/>
      <w:lvlText w:val=""/>
      <w:lvlJc w:val="left"/>
      <w:pPr>
        <w:tabs>
          <w:tab w:val="num" w:pos="5103"/>
        </w:tabs>
        <w:ind w:left="5103" w:hanging="360"/>
      </w:pPr>
      <w:rPr>
        <w:rFonts w:ascii="Symbol" w:hAnsi="Symbol" w:hint="default"/>
      </w:rPr>
    </w:lvl>
    <w:lvl w:ilvl="7" w:tplc="04020003" w:tentative="1">
      <w:start w:val="1"/>
      <w:numFmt w:val="bullet"/>
      <w:lvlText w:val="o"/>
      <w:lvlJc w:val="left"/>
      <w:pPr>
        <w:tabs>
          <w:tab w:val="num" w:pos="5823"/>
        </w:tabs>
        <w:ind w:left="5823" w:hanging="360"/>
      </w:pPr>
      <w:rPr>
        <w:rFonts w:ascii="Courier New" w:hAnsi="Courier New" w:cs="Courier New" w:hint="default"/>
      </w:rPr>
    </w:lvl>
    <w:lvl w:ilvl="8" w:tplc="04020005" w:tentative="1">
      <w:start w:val="1"/>
      <w:numFmt w:val="bullet"/>
      <w:lvlText w:val=""/>
      <w:lvlJc w:val="left"/>
      <w:pPr>
        <w:tabs>
          <w:tab w:val="num" w:pos="6543"/>
        </w:tabs>
        <w:ind w:left="6543" w:hanging="360"/>
      </w:pPr>
      <w:rPr>
        <w:rFonts w:ascii="Wingdings" w:hAnsi="Wingdings" w:hint="default"/>
      </w:rPr>
    </w:lvl>
  </w:abstractNum>
  <w:abstractNum w:abstractNumId="15" w15:restartNumberingAfterBreak="0">
    <w:nsid w:val="55C23005"/>
    <w:multiLevelType w:val="hybridMultilevel"/>
    <w:tmpl w:val="F14A2FD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842123C"/>
    <w:multiLevelType w:val="hybridMultilevel"/>
    <w:tmpl w:val="8C5E660A"/>
    <w:lvl w:ilvl="0" w:tplc="04090005">
      <w:start w:val="1"/>
      <w:numFmt w:val="bullet"/>
      <w:lvlText w:val=""/>
      <w:lvlJc w:val="left"/>
      <w:pPr>
        <w:tabs>
          <w:tab w:val="num" w:pos="720"/>
        </w:tabs>
        <w:ind w:left="720" w:hanging="360"/>
      </w:pPr>
      <w:rPr>
        <w:rFonts w:ascii="Wingdings" w:hAnsi="Wingdings" w:hint="default"/>
      </w:rPr>
    </w:lvl>
    <w:lvl w:ilvl="1" w:tplc="EA28C3A2">
      <w:start w:val="1"/>
      <w:numFmt w:val="bullet"/>
      <w:lvlText w:val="o"/>
      <w:lvlJc w:val="left"/>
      <w:pPr>
        <w:tabs>
          <w:tab w:val="num" w:pos="1440"/>
        </w:tabs>
        <w:ind w:left="1440" w:hanging="360"/>
      </w:pPr>
      <w:rPr>
        <w:rFonts w:ascii="Courier New" w:hAnsi="Courier New" w:cs="Courier New" w:hint="default"/>
      </w:rPr>
    </w:lvl>
    <w:lvl w:ilvl="2" w:tplc="CCD22ABE">
      <w:start w:val="4"/>
      <w:numFmt w:val="bullet"/>
      <w:lvlText w:val="-"/>
      <w:lvlJc w:val="left"/>
      <w:pPr>
        <w:tabs>
          <w:tab w:val="num" w:pos="2160"/>
        </w:tabs>
        <w:ind w:left="2160" w:hanging="360"/>
      </w:pPr>
      <w:rPr>
        <w:rFonts w:ascii="Times New Roman" w:eastAsia="Times New Roman" w:hAnsi="Times New Roman" w:cs="Times New Roman" w:hint="default"/>
      </w:rPr>
    </w:lvl>
    <w:lvl w:ilvl="3" w:tplc="1CFE9CA0" w:tentative="1">
      <w:start w:val="1"/>
      <w:numFmt w:val="bullet"/>
      <w:lvlText w:val=""/>
      <w:lvlJc w:val="left"/>
      <w:pPr>
        <w:tabs>
          <w:tab w:val="num" w:pos="2880"/>
        </w:tabs>
        <w:ind w:left="2880" w:hanging="360"/>
      </w:pPr>
      <w:rPr>
        <w:rFonts w:ascii="Symbol" w:hAnsi="Symbol" w:hint="default"/>
      </w:rPr>
    </w:lvl>
    <w:lvl w:ilvl="4" w:tplc="250200B6" w:tentative="1">
      <w:start w:val="1"/>
      <w:numFmt w:val="bullet"/>
      <w:lvlText w:val="o"/>
      <w:lvlJc w:val="left"/>
      <w:pPr>
        <w:tabs>
          <w:tab w:val="num" w:pos="3600"/>
        </w:tabs>
        <w:ind w:left="3600" w:hanging="360"/>
      </w:pPr>
      <w:rPr>
        <w:rFonts w:ascii="Courier New" w:hAnsi="Courier New" w:cs="Courier New" w:hint="default"/>
      </w:rPr>
    </w:lvl>
    <w:lvl w:ilvl="5" w:tplc="9ECA1E62" w:tentative="1">
      <w:start w:val="1"/>
      <w:numFmt w:val="bullet"/>
      <w:lvlText w:val=""/>
      <w:lvlJc w:val="left"/>
      <w:pPr>
        <w:tabs>
          <w:tab w:val="num" w:pos="4320"/>
        </w:tabs>
        <w:ind w:left="4320" w:hanging="360"/>
      </w:pPr>
      <w:rPr>
        <w:rFonts w:ascii="Wingdings" w:hAnsi="Wingdings" w:hint="default"/>
      </w:rPr>
    </w:lvl>
    <w:lvl w:ilvl="6" w:tplc="15A00A94" w:tentative="1">
      <w:start w:val="1"/>
      <w:numFmt w:val="bullet"/>
      <w:lvlText w:val=""/>
      <w:lvlJc w:val="left"/>
      <w:pPr>
        <w:tabs>
          <w:tab w:val="num" w:pos="5040"/>
        </w:tabs>
        <w:ind w:left="5040" w:hanging="360"/>
      </w:pPr>
      <w:rPr>
        <w:rFonts w:ascii="Symbol" w:hAnsi="Symbol" w:hint="default"/>
      </w:rPr>
    </w:lvl>
    <w:lvl w:ilvl="7" w:tplc="4F2005E8" w:tentative="1">
      <w:start w:val="1"/>
      <w:numFmt w:val="bullet"/>
      <w:lvlText w:val="o"/>
      <w:lvlJc w:val="left"/>
      <w:pPr>
        <w:tabs>
          <w:tab w:val="num" w:pos="5760"/>
        </w:tabs>
        <w:ind w:left="5760" w:hanging="360"/>
      </w:pPr>
      <w:rPr>
        <w:rFonts w:ascii="Courier New" w:hAnsi="Courier New" w:cs="Courier New" w:hint="default"/>
      </w:rPr>
    </w:lvl>
    <w:lvl w:ilvl="8" w:tplc="0EC876F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9E2E28"/>
    <w:multiLevelType w:val="multilevel"/>
    <w:tmpl w:val="CBD2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744BD1"/>
    <w:multiLevelType w:val="multilevel"/>
    <w:tmpl w:val="B096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66A89"/>
    <w:multiLevelType w:val="multilevel"/>
    <w:tmpl w:val="A3C8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3A40E2"/>
    <w:multiLevelType w:val="hybridMultilevel"/>
    <w:tmpl w:val="BFA0E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89020A"/>
    <w:multiLevelType w:val="multilevel"/>
    <w:tmpl w:val="AFC4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871D24"/>
    <w:multiLevelType w:val="multilevel"/>
    <w:tmpl w:val="6EE4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9F435A"/>
    <w:multiLevelType w:val="multilevel"/>
    <w:tmpl w:val="3930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005C66"/>
    <w:multiLevelType w:val="multilevel"/>
    <w:tmpl w:val="23689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984CE3"/>
    <w:multiLevelType w:val="multilevel"/>
    <w:tmpl w:val="B9DE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087EBE"/>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587DD4"/>
    <w:multiLevelType w:val="hybridMultilevel"/>
    <w:tmpl w:val="B21676E8"/>
    <w:lvl w:ilvl="0" w:tplc="F54282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0"/>
  </w:num>
  <w:num w:numId="4">
    <w:abstractNumId w:val="20"/>
  </w:num>
  <w:num w:numId="5">
    <w:abstractNumId w:val="8"/>
  </w:num>
  <w:num w:numId="6">
    <w:abstractNumId w:val="12"/>
  </w:num>
  <w:num w:numId="7">
    <w:abstractNumId w:val="7"/>
  </w:num>
  <w:num w:numId="8">
    <w:abstractNumId w:val="24"/>
  </w:num>
  <w:num w:numId="9">
    <w:abstractNumId w:val="6"/>
  </w:num>
  <w:num w:numId="10">
    <w:abstractNumId w:val="14"/>
  </w:num>
  <w:num w:numId="11">
    <w:abstractNumId w:val="2"/>
  </w:num>
  <w:num w:numId="12">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9"/>
  </w:num>
  <w:num w:numId="15">
    <w:abstractNumId w:val="4"/>
  </w:num>
  <w:num w:numId="16">
    <w:abstractNumId w:val="25"/>
  </w:num>
  <w:num w:numId="17">
    <w:abstractNumId w:val="23"/>
  </w:num>
  <w:num w:numId="18">
    <w:abstractNumId w:val="5"/>
  </w:num>
  <w:num w:numId="19">
    <w:abstractNumId w:val="21"/>
  </w:num>
  <w:num w:numId="20">
    <w:abstractNumId w:val="17"/>
  </w:num>
  <w:num w:numId="21">
    <w:abstractNumId w:val="19"/>
  </w:num>
  <w:num w:numId="22">
    <w:abstractNumId w:val="11"/>
  </w:num>
  <w:num w:numId="23">
    <w:abstractNumId w:val="13"/>
  </w:num>
  <w:num w:numId="24">
    <w:abstractNumId w:val="18"/>
  </w:num>
  <w:num w:numId="25">
    <w:abstractNumId w:val="26"/>
  </w:num>
  <w:num w:numId="26">
    <w:abstractNumId w:val="10"/>
  </w:num>
  <w:num w:numId="27">
    <w:abstractNumId w:val="3"/>
  </w:num>
  <w:num w:numId="28">
    <w:abstractNumId w:val="1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9FB"/>
    <w:rsid w:val="000115FE"/>
    <w:rsid w:val="0001360A"/>
    <w:rsid w:val="00015943"/>
    <w:rsid w:val="0002028D"/>
    <w:rsid w:val="00023674"/>
    <w:rsid w:val="000238E2"/>
    <w:rsid w:val="000248E1"/>
    <w:rsid w:val="000256F3"/>
    <w:rsid w:val="00027110"/>
    <w:rsid w:val="000308B3"/>
    <w:rsid w:val="00030C77"/>
    <w:rsid w:val="00030F4C"/>
    <w:rsid w:val="00031E13"/>
    <w:rsid w:val="000322B1"/>
    <w:rsid w:val="00032A64"/>
    <w:rsid w:val="0003311F"/>
    <w:rsid w:val="00034671"/>
    <w:rsid w:val="0003486A"/>
    <w:rsid w:val="00042350"/>
    <w:rsid w:val="000425C4"/>
    <w:rsid w:val="00050A47"/>
    <w:rsid w:val="000539B6"/>
    <w:rsid w:val="000544BE"/>
    <w:rsid w:val="000547B1"/>
    <w:rsid w:val="00055478"/>
    <w:rsid w:val="00055618"/>
    <w:rsid w:val="0005692D"/>
    <w:rsid w:val="000569DA"/>
    <w:rsid w:val="00057C19"/>
    <w:rsid w:val="00063EFD"/>
    <w:rsid w:val="00065BF2"/>
    <w:rsid w:val="00071605"/>
    <w:rsid w:val="00075B78"/>
    <w:rsid w:val="00082F87"/>
    <w:rsid w:val="00083609"/>
    <w:rsid w:val="00090314"/>
    <w:rsid w:val="000916B5"/>
    <w:rsid w:val="00092F39"/>
    <w:rsid w:val="00094141"/>
    <w:rsid w:val="00094ADF"/>
    <w:rsid w:val="00096296"/>
    <w:rsid w:val="000A04D2"/>
    <w:rsid w:val="000A50CB"/>
    <w:rsid w:val="000A5618"/>
    <w:rsid w:val="000A5C05"/>
    <w:rsid w:val="000A6FB5"/>
    <w:rsid w:val="000B21DC"/>
    <w:rsid w:val="000B5309"/>
    <w:rsid w:val="000B5E55"/>
    <w:rsid w:val="000B66F5"/>
    <w:rsid w:val="000C035E"/>
    <w:rsid w:val="000C15B0"/>
    <w:rsid w:val="000C520D"/>
    <w:rsid w:val="000C7A64"/>
    <w:rsid w:val="000D237F"/>
    <w:rsid w:val="000D375E"/>
    <w:rsid w:val="000D53A6"/>
    <w:rsid w:val="000D5B6D"/>
    <w:rsid w:val="000D759B"/>
    <w:rsid w:val="000E11F5"/>
    <w:rsid w:val="000E4451"/>
    <w:rsid w:val="000E4675"/>
    <w:rsid w:val="000F0F0B"/>
    <w:rsid w:val="000F1F91"/>
    <w:rsid w:val="000F4300"/>
    <w:rsid w:val="000F7AE5"/>
    <w:rsid w:val="00101744"/>
    <w:rsid w:val="0010542E"/>
    <w:rsid w:val="00106A3B"/>
    <w:rsid w:val="001108C1"/>
    <w:rsid w:val="0011293B"/>
    <w:rsid w:val="00113574"/>
    <w:rsid w:val="00120BC1"/>
    <w:rsid w:val="00122DD6"/>
    <w:rsid w:val="0012425E"/>
    <w:rsid w:val="001255AF"/>
    <w:rsid w:val="00125655"/>
    <w:rsid w:val="00126238"/>
    <w:rsid w:val="00126481"/>
    <w:rsid w:val="001302F4"/>
    <w:rsid w:val="00133A6F"/>
    <w:rsid w:val="00144CD0"/>
    <w:rsid w:val="0014525D"/>
    <w:rsid w:val="00146DC7"/>
    <w:rsid w:val="0014759E"/>
    <w:rsid w:val="00150E39"/>
    <w:rsid w:val="00153AB4"/>
    <w:rsid w:val="001549F6"/>
    <w:rsid w:val="00157F6F"/>
    <w:rsid w:val="0016167B"/>
    <w:rsid w:val="00161A87"/>
    <w:rsid w:val="001639AC"/>
    <w:rsid w:val="001643B9"/>
    <w:rsid w:val="00167420"/>
    <w:rsid w:val="001674C2"/>
    <w:rsid w:val="00173092"/>
    <w:rsid w:val="00176157"/>
    <w:rsid w:val="00176F38"/>
    <w:rsid w:val="0017796A"/>
    <w:rsid w:val="00180C0C"/>
    <w:rsid w:val="001841BC"/>
    <w:rsid w:val="001841F2"/>
    <w:rsid w:val="00184B6E"/>
    <w:rsid w:val="00184F77"/>
    <w:rsid w:val="0018595C"/>
    <w:rsid w:val="001862D2"/>
    <w:rsid w:val="00187A8F"/>
    <w:rsid w:val="00191BF2"/>
    <w:rsid w:val="001A1303"/>
    <w:rsid w:val="001A1D4B"/>
    <w:rsid w:val="001A35C0"/>
    <w:rsid w:val="001A4387"/>
    <w:rsid w:val="001B52E2"/>
    <w:rsid w:val="001B7EF6"/>
    <w:rsid w:val="001C3DA8"/>
    <w:rsid w:val="001C7678"/>
    <w:rsid w:val="001D0E6A"/>
    <w:rsid w:val="001D2FA3"/>
    <w:rsid w:val="001E22DE"/>
    <w:rsid w:val="001E3C57"/>
    <w:rsid w:val="001E4252"/>
    <w:rsid w:val="001E482A"/>
    <w:rsid w:val="001E5ADC"/>
    <w:rsid w:val="001E67BF"/>
    <w:rsid w:val="001E6B33"/>
    <w:rsid w:val="001F3520"/>
    <w:rsid w:val="001F38FC"/>
    <w:rsid w:val="001F480E"/>
    <w:rsid w:val="001F57D3"/>
    <w:rsid w:val="00200D00"/>
    <w:rsid w:val="00204530"/>
    <w:rsid w:val="00204994"/>
    <w:rsid w:val="00213EFB"/>
    <w:rsid w:val="0021502F"/>
    <w:rsid w:val="002179D6"/>
    <w:rsid w:val="00222263"/>
    <w:rsid w:val="00224EEE"/>
    <w:rsid w:val="0022640E"/>
    <w:rsid w:val="00227C62"/>
    <w:rsid w:val="0023088D"/>
    <w:rsid w:val="00235928"/>
    <w:rsid w:val="002367F0"/>
    <w:rsid w:val="0024057C"/>
    <w:rsid w:val="002409DC"/>
    <w:rsid w:val="00241652"/>
    <w:rsid w:val="00243350"/>
    <w:rsid w:val="00244263"/>
    <w:rsid w:val="0024568E"/>
    <w:rsid w:val="00250E4C"/>
    <w:rsid w:val="00251C74"/>
    <w:rsid w:val="00252A5C"/>
    <w:rsid w:val="00253C73"/>
    <w:rsid w:val="0025674A"/>
    <w:rsid w:val="00264155"/>
    <w:rsid w:val="002661A3"/>
    <w:rsid w:val="00267CCB"/>
    <w:rsid w:val="002726C6"/>
    <w:rsid w:val="00272ECB"/>
    <w:rsid w:val="002851C2"/>
    <w:rsid w:val="002870D7"/>
    <w:rsid w:val="00287B2B"/>
    <w:rsid w:val="002947AD"/>
    <w:rsid w:val="0029686C"/>
    <w:rsid w:val="002971B0"/>
    <w:rsid w:val="002A28C9"/>
    <w:rsid w:val="002A763E"/>
    <w:rsid w:val="002B0F87"/>
    <w:rsid w:val="002B1F52"/>
    <w:rsid w:val="002B2730"/>
    <w:rsid w:val="002B562D"/>
    <w:rsid w:val="002B5F6E"/>
    <w:rsid w:val="002B62D1"/>
    <w:rsid w:val="002B6B2E"/>
    <w:rsid w:val="002B7D23"/>
    <w:rsid w:val="002C0B21"/>
    <w:rsid w:val="002C1E90"/>
    <w:rsid w:val="002C21FA"/>
    <w:rsid w:val="002C4418"/>
    <w:rsid w:val="002C4B9E"/>
    <w:rsid w:val="002C4C37"/>
    <w:rsid w:val="002C6F2E"/>
    <w:rsid w:val="002C7FE7"/>
    <w:rsid w:val="002D0C61"/>
    <w:rsid w:val="002D24A5"/>
    <w:rsid w:val="002E183F"/>
    <w:rsid w:val="002E5C0B"/>
    <w:rsid w:val="002E793B"/>
    <w:rsid w:val="002F3F69"/>
    <w:rsid w:val="002F4CDC"/>
    <w:rsid w:val="002F4D97"/>
    <w:rsid w:val="002F5082"/>
    <w:rsid w:val="002F62B0"/>
    <w:rsid w:val="003011BB"/>
    <w:rsid w:val="00302B06"/>
    <w:rsid w:val="003045BC"/>
    <w:rsid w:val="00306BCF"/>
    <w:rsid w:val="0030765C"/>
    <w:rsid w:val="00311AC2"/>
    <w:rsid w:val="003129D9"/>
    <w:rsid w:val="00314117"/>
    <w:rsid w:val="003164AC"/>
    <w:rsid w:val="003172BA"/>
    <w:rsid w:val="00323894"/>
    <w:rsid w:val="00327D09"/>
    <w:rsid w:val="00330F49"/>
    <w:rsid w:val="00342A56"/>
    <w:rsid w:val="003449A4"/>
    <w:rsid w:val="003513FB"/>
    <w:rsid w:val="00351B77"/>
    <w:rsid w:val="003526CB"/>
    <w:rsid w:val="00353E0B"/>
    <w:rsid w:val="003547C6"/>
    <w:rsid w:val="00354DD0"/>
    <w:rsid w:val="003557F8"/>
    <w:rsid w:val="00357611"/>
    <w:rsid w:val="003630F1"/>
    <w:rsid w:val="00364EA4"/>
    <w:rsid w:val="00365404"/>
    <w:rsid w:val="00367C43"/>
    <w:rsid w:val="00372C22"/>
    <w:rsid w:val="003808C5"/>
    <w:rsid w:val="003808EA"/>
    <w:rsid w:val="003832EC"/>
    <w:rsid w:val="0038593A"/>
    <w:rsid w:val="00387C2C"/>
    <w:rsid w:val="0039056A"/>
    <w:rsid w:val="00390C1F"/>
    <w:rsid w:val="0039121E"/>
    <w:rsid w:val="003968C3"/>
    <w:rsid w:val="003A4E30"/>
    <w:rsid w:val="003B3CB2"/>
    <w:rsid w:val="003B3D75"/>
    <w:rsid w:val="003B5811"/>
    <w:rsid w:val="003B6679"/>
    <w:rsid w:val="003B697A"/>
    <w:rsid w:val="003C0D77"/>
    <w:rsid w:val="003C3D53"/>
    <w:rsid w:val="003C4415"/>
    <w:rsid w:val="003C4C37"/>
    <w:rsid w:val="003C4E29"/>
    <w:rsid w:val="003C57E4"/>
    <w:rsid w:val="003D100D"/>
    <w:rsid w:val="003D313B"/>
    <w:rsid w:val="003D4ACB"/>
    <w:rsid w:val="003D5CB5"/>
    <w:rsid w:val="003D6D11"/>
    <w:rsid w:val="003D76C5"/>
    <w:rsid w:val="003D770D"/>
    <w:rsid w:val="003E49B3"/>
    <w:rsid w:val="003E56E9"/>
    <w:rsid w:val="003F5150"/>
    <w:rsid w:val="003F532C"/>
    <w:rsid w:val="00400796"/>
    <w:rsid w:val="00407DC9"/>
    <w:rsid w:val="00410131"/>
    <w:rsid w:val="00411291"/>
    <w:rsid w:val="004122C8"/>
    <w:rsid w:val="004143D5"/>
    <w:rsid w:val="0041655B"/>
    <w:rsid w:val="004167C3"/>
    <w:rsid w:val="00416900"/>
    <w:rsid w:val="00416C30"/>
    <w:rsid w:val="00417460"/>
    <w:rsid w:val="00420325"/>
    <w:rsid w:val="004206AD"/>
    <w:rsid w:val="004217C9"/>
    <w:rsid w:val="00422783"/>
    <w:rsid w:val="0042418F"/>
    <w:rsid w:val="004253A9"/>
    <w:rsid w:val="004354C1"/>
    <w:rsid w:val="004409D2"/>
    <w:rsid w:val="0044465A"/>
    <w:rsid w:val="00444B06"/>
    <w:rsid w:val="00452E9A"/>
    <w:rsid w:val="004535F8"/>
    <w:rsid w:val="00453BD2"/>
    <w:rsid w:val="00456C56"/>
    <w:rsid w:val="004574F3"/>
    <w:rsid w:val="004634B9"/>
    <w:rsid w:val="00465041"/>
    <w:rsid w:val="00467D45"/>
    <w:rsid w:val="00467DC1"/>
    <w:rsid w:val="00471776"/>
    <w:rsid w:val="00472290"/>
    <w:rsid w:val="004722C4"/>
    <w:rsid w:val="00473034"/>
    <w:rsid w:val="0047576A"/>
    <w:rsid w:val="00475B5A"/>
    <w:rsid w:val="00476B04"/>
    <w:rsid w:val="00482CE6"/>
    <w:rsid w:val="0048793C"/>
    <w:rsid w:val="00491A3F"/>
    <w:rsid w:val="004970EF"/>
    <w:rsid w:val="004A034E"/>
    <w:rsid w:val="004A0C7E"/>
    <w:rsid w:val="004A5AD1"/>
    <w:rsid w:val="004B0718"/>
    <w:rsid w:val="004B2CAF"/>
    <w:rsid w:val="004B3D74"/>
    <w:rsid w:val="004B5D2A"/>
    <w:rsid w:val="004B727B"/>
    <w:rsid w:val="004C2BDF"/>
    <w:rsid w:val="004C4517"/>
    <w:rsid w:val="004C7462"/>
    <w:rsid w:val="004D1EBC"/>
    <w:rsid w:val="004D4D69"/>
    <w:rsid w:val="004D6FCF"/>
    <w:rsid w:val="004D703F"/>
    <w:rsid w:val="004E422E"/>
    <w:rsid w:val="004E69FB"/>
    <w:rsid w:val="004E77DB"/>
    <w:rsid w:val="004E7E5C"/>
    <w:rsid w:val="004F1ECD"/>
    <w:rsid w:val="004F2947"/>
    <w:rsid w:val="004F4052"/>
    <w:rsid w:val="004F4C4C"/>
    <w:rsid w:val="004F5A22"/>
    <w:rsid w:val="004F70F4"/>
    <w:rsid w:val="005011DF"/>
    <w:rsid w:val="00502044"/>
    <w:rsid w:val="00506C4A"/>
    <w:rsid w:val="00506CE2"/>
    <w:rsid w:val="00511339"/>
    <w:rsid w:val="00516A61"/>
    <w:rsid w:val="00520FC9"/>
    <w:rsid w:val="005211EF"/>
    <w:rsid w:val="0052236B"/>
    <w:rsid w:val="00522C3D"/>
    <w:rsid w:val="00523813"/>
    <w:rsid w:val="00523B50"/>
    <w:rsid w:val="00525B1B"/>
    <w:rsid w:val="00531815"/>
    <w:rsid w:val="0053522B"/>
    <w:rsid w:val="0053527E"/>
    <w:rsid w:val="00542F07"/>
    <w:rsid w:val="005431B8"/>
    <w:rsid w:val="0054493C"/>
    <w:rsid w:val="005454DA"/>
    <w:rsid w:val="00550A79"/>
    <w:rsid w:val="00550CC9"/>
    <w:rsid w:val="00553CFB"/>
    <w:rsid w:val="005543A8"/>
    <w:rsid w:val="005558F4"/>
    <w:rsid w:val="005577AE"/>
    <w:rsid w:val="00557E2F"/>
    <w:rsid w:val="005600CE"/>
    <w:rsid w:val="00562687"/>
    <w:rsid w:val="00564C6E"/>
    <w:rsid w:val="00565413"/>
    <w:rsid w:val="00571D8F"/>
    <w:rsid w:val="00575694"/>
    <w:rsid w:val="00580EF9"/>
    <w:rsid w:val="0058160F"/>
    <w:rsid w:val="00581AF8"/>
    <w:rsid w:val="00581B3C"/>
    <w:rsid w:val="0058223F"/>
    <w:rsid w:val="005837A0"/>
    <w:rsid w:val="005838D6"/>
    <w:rsid w:val="0058478D"/>
    <w:rsid w:val="00585A0F"/>
    <w:rsid w:val="00586555"/>
    <w:rsid w:val="00586E94"/>
    <w:rsid w:val="0059089C"/>
    <w:rsid w:val="00592052"/>
    <w:rsid w:val="00594CAA"/>
    <w:rsid w:val="00594EEC"/>
    <w:rsid w:val="00596E57"/>
    <w:rsid w:val="00597601"/>
    <w:rsid w:val="005A2B4A"/>
    <w:rsid w:val="005A7792"/>
    <w:rsid w:val="005A7A22"/>
    <w:rsid w:val="005B6047"/>
    <w:rsid w:val="005B713E"/>
    <w:rsid w:val="005C1896"/>
    <w:rsid w:val="005C37B0"/>
    <w:rsid w:val="005C3963"/>
    <w:rsid w:val="005C63C4"/>
    <w:rsid w:val="005C6C49"/>
    <w:rsid w:val="005C7F59"/>
    <w:rsid w:val="005D0C93"/>
    <w:rsid w:val="005D38AB"/>
    <w:rsid w:val="005D4DE2"/>
    <w:rsid w:val="005D7AB0"/>
    <w:rsid w:val="005E1C9E"/>
    <w:rsid w:val="005E2E36"/>
    <w:rsid w:val="005E4AA1"/>
    <w:rsid w:val="005F575B"/>
    <w:rsid w:val="005F6261"/>
    <w:rsid w:val="005F63E0"/>
    <w:rsid w:val="00606602"/>
    <w:rsid w:val="00610A1F"/>
    <w:rsid w:val="006140E6"/>
    <w:rsid w:val="00614C76"/>
    <w:rsid w:val="00615923"/>
    <w:rsid w:val="00621DA9"/>
    <w:rsid w:val="006227CA"/>
    <w:rsid w:val="00626EEB"/>
    <w:rsid w:val="006319FF"/>
    <w:rsid w:val="00635FD2"/>
    <w:rsid w:val="006361FC"/>
    <w:rsid w:val="00636EEF"/>
    <w:rsid w:val="00637EBA"/>
    <w:rsid w:val="006402A3"/>
    <w:rsid w:val="006407E6"/>
    <w:rsid w:val="00642262"/>
    <w:rsid w:val="006438D9"/>
    <w:rsid w:val="00645F3B"/>
    <w:rsid w:val="00655B74"/>
    <w:rsid w:val="00660550"/>
    <w:rsid w:val="00663461"/>
    <w:rsid w:val="00663BF7"/>
    <w:rsid w:val="00664911"/>
    <w:rsid w:val="0066673B"/>
    <w:rsid w:val="006702A9"/>
    <w:rsid w:val="00671AA4"/>
    <w:rsid w:val="00673B06"/>
    <w:rsid w:val="00674AB1"/>
    <w:rsid w:val="00676A9A"/>
    <w:rsid w:val="0068145A"/>
    <w:rsid w:val="00682349"/>
    <w:rsid w:val="00683906"/>
    <w:rsid w:val="00685BE4"/>
    <w:rsid w:val="0068659C"/>
    <w:rsid w:val="00691B91"/>
    <w:rsid w:val="00693157"/>
    <w:rsid w:val="0069329B"/>
    <w:rsid w:val="00695187"/>
    <w:rsid w:val="00695A5F"/>
    <w:rsid w:val="00697D77"/>
    <w:rsid w:val="006A0674"/>
    <w:rsid w:val="006A6BF9"/>
    <w:rsid w:val="006A77EA"/>
    <w:rsid w:val="006A7FAB"/>
    <w:rsid w:val="006B04FB"/>
    <w:rsid w:val="006B1E64"/>
    <w:rsid w:val="006B26F0"/>
    <w:rsid w:val="006B61E4"/>
    <w:rsid w:val="006C0413"/>
    <w:rsid w:val="006C453D"/>
    <w:rsid w:val="006C455B"/>
    <w:rsid w:val="006C4F7E"/>
    <w:rsid w:val="006D005E"/>
    <w:rsid w:val="006D2577"/>
    <w:rsid w:val="006D7799"/>
    <w:rsid w:val="006F21CF"/>
    <w:rsid w:val="006F337D"/>
    <w:rsid w:val="006F5EC8"/>
    <w:rsid w:val="006F6C1C"/>
    <w:rsid w:val="006F784B"/>
    <w:rsid w:val="006F7CB6"/>
    <w:rsid w:val="007023B7"/>
    <w:rsid w:val="00705BAA"/>
    <w:rsid w:val="00707C64"/>
    <w:rsid w:val="00713EC2"/>
    <w:rsid w:val="0071429B"/>
    <w:rsid w:val="007156C9"/>
    <w:rsid w:val="0071583F"/>
    <w:rsid w:val="00716CB8"/>
    <w:rsid w:val="00720F2A"/>
    <w:rsid w:val="00722438"/>
    <w:rsid w:val="007227FF"/>
    <w:rsid w:val="007253C0"/>
    <w:rsid w:val="00725CC9"/>
    <w:rsid w:val="0073171E"/>
    <w:rsid w:val="00732398"/>
    <w:rsid w:val="007334A7"/>
    <w:rsid w:val="007343A0"/>
    <w:rsid w:val="00734AD2"/>
    <w:rsid w:val="00734AE9"/>
    <w:rsid w:val="0074026F"/>
    <w:rsid w:val="007415E7"/>
    <w:rsid w:val="00744F2B"/>
    <w:rsid w:val="00745B8D"/>
    <w:rsid w:val="007462B7"/>
    <w:rsid w:val="00746EDE"/>
    <w:rsid w:val="007519A1"/>
    <w:rsid w:val="007548CA"/>
    <w:rsid w:val="00755547"/>
    <w:rsid w:val="00755882"/>
    <w:rsid w:val="00757590"/>
    <w:rsid w:val="00760000"/>
    <w:rsid w:val="007655E2"/>
    <w:rsid w:val="0076779D"/>
    <w:rsid w:val="00771865"/>
    <w:rsid w:val="0077605E"/>
    <w:rsid w:val="00776FE7"/>
    <w:rsid w:val="00777942"/>
    <w:rsid w:val="00780DE6"/>
    <w:rsid w:val="00781B97"/>
    <w:rsid w:val="00782F32"/>
    <w:rsid w:val="00784411"/>
    <w:rsid w:val="00790D29"/>
    <w:rsid w:val="0079310E"/>
    <w:rsid w:val="007931BB"/>
    <w:rsid w:val="007A0285"/>
    <w:rsid w:val="007A1B3A"/>
    <w:rsid w:val="007A6BE7"/>
    <w:rsid w:val="007B580A"/>
    <w:rsid w:val="007C0B17"/>
    <w:rsid w:val="007C0D09"/>
    <w:rsid w:val="007C4D6E"/>
    <w:rsid w:val="007D1593"/>
    <w:rsid w:val="007D1F1F"/>
    <w:rsid w:val="007D2710"/>
    <w:rsid w:val="007D38CD"/>
    <w:rsid w:val="007D7E51"/>
    <w:rsid w:val="007E126F"/>
    <w:rsid w:val="007E2AF8"/>
    <w:rsid w:val="007E3BB5"/>
    <w:rsid w:val="007E6264"/>
    <w:rsid w:val="007F4435"/>
    <w:rsid w:val="007F4B19"/>
    <w:rsid w:val="007F4C2F"/>
    <w:rsid w:val="007F5DAE"/>
    <w:rsid w:val="007F6BAB"/>
    <w:rsid w:val="00805074"/>
    <w:rsid w:val="008108FC"/>
    <w:rsid w:val="00811196"/>
    <w:rsid w:val="00811BB3"/>
    <w:rsid w:val="008130B7"/>
    <w:rsid w:val="00814FE1"/>
    <w:rsid w:val="0082242B"/>
    <w:rsid w:val="00825DEC"/>
    <w:rsid w:val="00826139"/>
    <w:rsid w:val="00830075"/>
    <w:rsid w:val="008304C7"/>
    <w:rsid w:val="00831696"/>
    <w:rsid w:val="0083386A"/>
    <w:rsid w:val="00833C6A"/>
    <w:rsid w:val="008342F5"/>
    <w:rsid w:val="00837CF7"/>
    <w:rsid w:val="00837D25"/>
    <w:rsid w:val="0084421D"/>
    <w:rsid w:val="008475CE"/>
    <w:rsid w:val="008478AD"/>
    <w:rsid w:val="008522BA"/>
    <w:rsid w:val="008560C6"/>
    <w:rsid w:val="00870C56"/>
    <w:rsid w:val="008735DE"/>
    <w:rsid w:val="00873C88"/>
    <w:rsid w:val="0088284E"/>
    <w:rsid w:val="0089064E"/>
    <w:rsid w:val="008932E9"/>
    <w:rsid w:val="008960BE"/>
    <w:rsid w:val="00896B8D"/>
    <w:rsid w:val="00897CFF"/>
    <w:rsid w:val="008A07A8"/>
    <w:rsid w:val="008A22CC"/>
    <w:rsid w:val="008A2D1D"/>
    <w:rsid w:val="008A3207"/>
    <w:rsid w:val="008A3A67"/>
    <w:rsid w:val="008A76D0"/>
    <w:rsid w:val="008B0216"/>
    <w:rsid w:val="008B40FE"/>
    <w:rsid w:val="008C07E1"/>
    <w:rsid w:val="008C1474"/>
    <w:rsid w:val="008C500B"/>
    <w:rsid w:val="008C6243"/>
    <w:rsid w:val="008D49F8"/>
    <w:rsid w:val="008D4A08"/>
    <w:rsid w:val="008E04DC"/>
    <w:rsid w:val="008E097D"/>
    <w:rsid w:val="008E4AB5"/>
    <w:rsid w:val="008E5C1A"/>
    <w:rsid w:val="008E72FC"/>
    <w:rsid w:val="008E7FF8"/>
    <w:rsid w:val="008F3036"/>
    <w:rsid w:val="008F3A7D"/>
    <w:rsid w:val="008F50B1"/>
    <w:rsid w:val="008F760B"/>
    <w:rsid w:val="00900A43"/>
    <w:rsid w:val="00901420"/>
    <w:rsid w:val="00904BC0"/>
    <w:rsid w:val="00904EC6"/>
    <w:rsid w:val="00904F6F"/>
    <w:rsid w:val="0091014B"/>
    <w:rsid w:val="009115C0"/>
    <w:rsid w:val="00913AE5"/>
    <w:rsid w:val="009169E0"/>
    <w:rsid w:val="00917ACD"/>
    <w:rsid w:val="00921541"/>
    <w:rsid w:val="00922A6A"/>
    <w:rsid w:val="009244F1"/>
    <w:rsid w:val="0092590A"/>
    <w:rsid w:val="00925990"/>
    <w:rsid w:val="00927322"/>
    <w:rsid w:val="009277B6"/>
    <w:rsid w:val="00927A5B"/>
    <w:rsid w:val="00932BD4"/>
    <w:rsid w:val="00933D0D"/>
    <w:rsid w:val="00935EBE"/>
    <w:rsid w:val="00943AB5"/>
    <w:rsid w:val="00945490"/>
    <w:rsid w:val="009574C7"/>
    <w:rsid w:val="00962FE7"/>
    <w:rsid w:val="00963F8F"/>
    <w:rsid w:val="00964807"/>
    <w:rsid w:val="009656BD"/>
    <w:rsid w:val="00973611"/>
    <w:rsid w:val="00976F0F"/>
    <w:rsid w:val="00981398"/>
    <w:rsid w:val="00983216"/>
    <w:rsid w:val="00983322"/>
    <w:rsid w:val="00984B5B"/>
    <w:rsid w:val="00996F8B"/>
    <w:rsid w:val="00997E6A"/>
    <w:rsid w:val="009A25FD"/>
    <w:rsid w:val="009A41F1"/>
    <w:rsid w:val="009A44DB"/>
    <w:rsid w:val="009A4BC9"/>
    <w:rsid w:val="009B08B1"/>
    <w:rsid w:val="009B0F0E"/>
    <w:rsid w:val="009B4C9B"/>
    <w:rsid w:val="009B512C"/>
    <w:rsid w:val="009C182B"/>
    <w:rsid w:val="009C5AAF"/>
    <w:rsid w:val="009C6459"/>
    <w:rsid w:val="009C774C"/>
    <w:rsid w:val="009D17F6"/>
    <w:rsid w:val="009D3503"/>
    <w:rsid w:val="009D5106"/>
    <w:rsid w:val="009D5A5A"/>
    <w:rsid w:val="009D5F75"/>
    <w:rsid w:val="009D6A3D"/>
    <w:rsid w:val="009E3407"/>
    <w:rsid w:val="009E453C"/>
    <w:rsid w:val="00A00363"/>
    <w:rsid w:val="00A02230"/>
    <w:rsid w:val="00A03BD3"/>
    <w:rsid w:val="00A05BBE"/>
    <w:rsid w:val="00A13AE1"/>
    <w:rsid w:val="00A16C6A"/>
    <w:rsid w:val="00A22182"/>
    <w:rsid w:val="00A22D80"/>
    <w:rsid w:val="00A22E1E"/>
    <w:rsid w:val="00A23FD6"/>
    <w:rsid w:val="00A2403D"/>
    <w:rsid w:val="00A24135"/>
    <w:rsid w:val="00A247E2"/>
    <w:rsid w:val="00A24FE9"/>
    <w:rsid w:val="00A26D6D"/>
    <w:rsid w:val="00A3282C"/>
    <w:rsid w:val="00A3378E"/>
    <w:rsid w:val="00A42AA3"/>
    <w:rsid w:val="00A51869"/>
    <w:rsid w:val="00A562EB"/>
    <w:rsid w:val="00A57A4F"/>
    <w:rsid w:val="00A63A04"/>
    <w:rsid w:val="00A71EA3"/>
    <w:rsid w:val="00A725B8"/>
    <w:rsid w:val="00A759E7"/>
    <w:rsid w:val="00A82AAC"/>
    <w:rsid w:val="00A83437"/>
    <w:rsid w:val="00A839BC"/>
    <w:rsid w:val="00A84381"/>
    <w:rsid w:val="00A864CD"/>
    <w:rsid w:val="00A87B24"/>
    <w:rsid w:val="00A91F8B"/>
    <w:rsid w:val="00A94FB7"/>
    <w:rsid w:val="00A97C9B"/>
    <w:rsid w:val="00AA0007"/>
    <w:rsid w:val="00AA0E7A"/>
    <w:rsid w:val="00AA28CA"/>
    <w:rsid w:val="00AA654C"/>
    <w:rsid w:val="00AA6D0A"/>
    <w:rsid w:val="00AB6697"/>
    <w:rsid w:val="00AC1FD1"/>
    <w:rsid w:val="00AC2851"/>
    <w:rsid w:val="00AC39A2"/>
    <w:rsid w:val="00AC4A8C"/>
    <w:rsid w:val="00AC764B"/>
    <w:rsid w:val="00AC7C56"/>
    <w:rsid w:val="00AD1D21"/>
    <w:rsid w:val="00AD48E7"/>
    <w:rsid w:val="00AD61FA"/>
    <w:rsid w:val="00AE0D34"/>
    <w:rsid w:val="00AE4F38"/>
    <w:rsid w:val="00AF22AC"/>
    <w:rsid w:val="00AF3BA4"/>
    <w:rsid w:val="00AF3BF8"/>
    <w:rsid w:val="00AF5098"/>
    <w:rsid w:val="00B00DC2"/>
    <w:rsid w:val="00B04FC8"/>
    <w:rsid w:val="00B0531B"/>
    <w:rsid w:val="00B077CD"/>
    <w:rsid w:val="00B10360"/>
    <w:rsid w:val="00B1045F"/>
    <w:rsid w:val="00B12711"/>
    <w:rsid w:val="00B13F21"/>
    <w:rsid w:val="00B1495D"/>
    <w:rsid w:val="00B207D8"/>
    <w:rsid w:val="00B227E0"/>
    <w:rsid w:val="00B2350B"/>
    <w:rsid w:val="00B24B15"/>
    <w:rsid w:val="00B25737"/>
    <w:rsid w:val="00B25A56"/>
    <w:rsid w:val="00B25D2A"/>
    <w:rsid w:val="00B31020"/>
    <w:rsid w:val="00B33AC1"/>
    <w:rsid w:val="00B34413"/>
    <w:rsid w:val="00B36A9D"/>
    <w:rsid w:val="00B40378"/>
    <w:rsid w:val="00B42ED2"/>
    <w:rsid w:val="00B439DB"/>
    <w:rsid w:val="00B45961"/>
    <w:rsid w:val="00B45F80"/>
    <w:rsid w:val="00B46CAE"/>
    <w:rsid w:val="00B50362"/>
    <w:rsid w:val="00B5257B"/>
    <w:rsid w:val="00B5275D"/>
    <w:rsid w:val="00B531ED"/>
    <w:rsid w:val="00B55058"/>
    <w:rsid w:val="00B6087B"/>
    <w:rsid w:val="00B60EB1"/>
    <w:rsid w:val="00B6102C"/>
    <w:rsid w:val="00B63643"/>
    <w:rsid w:val="00B67BAB"/>
    <w:rsid w:val="00B71DDE"/>
    <w:rsid w:val="00B7205B"/>
    <w:rsid w:val="00B74676"/>
    <w:rsid w:val="00B7769F"/>
    <w:rsid w:val="00B83B6E"/>
    <w:rsid w:val="00B851FB"/>
    <w:rsid w:val="00B86E85"/>
    <w:rsid w:val="00B87514"/>
    <w:rsid w:val="00B911B6"/>
    <w:rsid w:val="00B9123C"/>
    <w:rsid w:val="00B9250C"/>
    <w:rsid w:val="00B93964"/>
    <w:rsid w:val="00B96148"/>
    <w:rsid w:val="00B97064"/>
    <w:rsid w:val="00BA5CC7"/>
    <w:rsid w:val="00BB2955"/>
    <w:rsid w:val="00BB53A6"/>
    <w:rsid w:val="00BB54C8"/>
    <w:rsid w:val="00BB5CD3"/>
    <w:rsid w:val="00BC17A3"/>
    <w:rsid w:val="00BC2114"/>
    <w:rsid w:val="00BC31F6"/>
    <w:rsid w:val="00BC4820"/>
    <w:rsid w:val="00BC736F"/>
    <w:rsid w:val="00BD2598"/>
    <w:rsid w:val="00BD7B5C"/>
    <w:rsid w:val="00BE09B7"/>
    <w:rsid w:val="00BE110D"/>
    <w:rsid w:val="00BE13E6"/>
    <w:rsid w:val="00BE407E"/>
    <w:rsid w:val="00BE56B8"/>
    <w:rsid w:val="00BE6CE2"/>
    <w:rsid w:val="00BE6E83"/>
    <w:rsid w:val="00BF1549"/>
    <w:rsid w:val="00BF28A9"/>
    <w:rsid w:val="00BF3070"/>
    <w:rsid w:val="00BF3E05"/>
    <w:rsid w:val="00C07128"/>
    <w:rsid w:val="00C17426"/>
    <w:rsid w:val="00C21125"/>
    <w:rsid w:val="00C226E1"/>
    <w:rsid w:val="00C22AA1"/>
    <w:rsid w:val="00C237F8"/>
    <w:rsid w:val="00C24027"/>
    <w:rsid w:val="00C24E58"/>
    <w:rsid w:val="00C255FE"/>
    <w:rsid w:val="00C26DAF"/>
    <w:rsid w:val="00C31E4A"/>
    <w:rsid w:val="00C320A3"/>
    <w:rsid w:val="00C3215B"/>
    <w:rsid w:val="00C34B9C"/>
    <w:rsid w:val="00C36603"/>
    <w:rsid w:val="00C42FC0"/>
    <w:rsid w:val="00C479BF"/>
    <w:rsid w:val="00C50C3F"/>
    <w:rsid w:val="00C5329C"/>
    <w:rsid w:val="00C541DF"/>
    <w:rsid w:val="00C548B4"/>
    <w:rsid w:val="00C571B2"/>
    <w:rsid w:val="00C715BB"/>
    <w:rsid w:val="00C74BC1"/>
    <w:rsid w:val="00C81E06"/>
    <w:rsid w:val="00C8201E"/>
    <w:rsid w:val="00C839B6"/>
    <w:rsid w:val="00C85FA8"/>
    <w:rsid w:val="00C860BC"/>
    <w:rsid w:val="00C8648C"/>
    <w:rsid w:val="00C9142F"/>
    <w:rsid w:val="00C941F3"/>
    <w:rsid w:val="00CA04B7"/>
    <w:rsid w:val="00CA0DAE"/>
    <w:rsid w:val="00CA5CDD"/>
    <w:rsid w:val="00CA6B8D"/>
    <w:rsid w:val="00CA72DC"/>
    <w:rsid w:val="00CA764C"/>
    <w:rsid w:val="00CB16DC"/>
    <w:rsid w:val="00CB2968"/>
    <w:rsid w:val="00CB3989"/>
    <w:rsid w:val="00CC179B"/>
    <w:rsid w:val="00CC4A19"/>
    <w:rsid w:val="00CC7418"/>
    <w:rsid w:val="00CD44E1"/>
    <w:rsid w:val="00CD716F"/>
    <w:rsid w:val="00CE04D6"/>
    <w:rsid w:val="00CE0D20"/>
    <w:rsid w:val="00CE175D"/>
    <w:rsid w:val="00CF1CCF"/>
    <w:rsid w:val="00CF2D62"/>
    <w:rsid w:val="00CF2E51"/>
    <w:rsid w:val="00CF4648"/>
    <w:rsid w:val="00CF6317"/>
    <w:rsid w:val="00D06465"/>
    <w:rsid w:val="00D06DC4"/>
    <w:rsid w:val="00D07C09"/>
    <w:rsid w:val="00D1149F"/>
    <w:rsid w:val="00D12516"/>
    <w:rsid w:val="00D169B3"/>
    <w:rsid w:val="00D21328"/>
    <w:rsid w:val="00D21F5B"/>
    <w:rsid w:val="00D22474"/>
    <w:rsid w:val="00D26FB8"/>
    <w:rsid w:val="00D31D69"/>
    <w:rsid w:val="00D32271"/>
    <w:rsid w:val="00D3245A"/>
    <w:rsid w:val="00D32D7F"/>
    <w:rsid w:val="00D4020F"/>
    <w:rsid w:val="00D415BF"/>
    <w:rsid w:val="00D43383"/>
    <w:rsid w:val="00D44E78"/>
    <w:rsid w:val="00D4566B"/>
    <w:rsid w:val="00D4652F"/>
    <w:rsid w:val="00D50537"/>
    <w:rsid w:val="00D531BB"/>
    <w:rsid w:val="00D53DAF"/>
    <w:rsid w:val="00D546A5"/>
    <w:rsid w:val="00D6121E"/>
    <w:rsid w:val="00D61D25"/>
    <w:rsid w:val="00D624D9"/>
    <w:rsid w:val="00D71947"/>
    <w:rsid w:val="00D74179"/>
    <w:rsid w:val="00D776E0"/>
    <w:rsid w:val="00D8081A"/>
    <w:rsid w:val="00D83555"/>
    <w:rsid w:val="00D85222"/>
    <w:rsid w:val="00D87672"/>
    <w:rsid w:val="00D878C0"/>
    <w:rsid w:val="00D9442A"/>
    <w:rsid w:val="00D944D3"/>
    <w:rsid w:val="00D945CC"/>
    <w:rsid w:val="00D9699B"/>
    <w:rsid w:val="00DA5FE1"/>
    <w:rsid w:val="00DB0C54"/>
    <w:rsid w:val="00DB36C9"/>
    <w:rsid w:val="00DB5A97"/>
    <w:rsid w:val="00DB6CE5"/>
    <w:rsid w:val="00DB74A6"/>
    <w:rsid w:val="00DB7A9A"/>
    <w:rsid w:val="00DC6E95"/>
    <w:rsid w:val="00DC7BA7"/>
    <w:rsid w:val="00DD1A1B"/>
    <w:rsid w:val="00DD3751"/>
    <w:rsid w:val="00DD4071"/>
    <w:rsid w:val="00DD5AC3"/>
    <w:rsid w:val="00DD5C37"/>
    <w:rsid w:val="00DD745B"/>
    <w:rsid w:val="00DE1436"/>
    <w:rsid w:val="00DE176E"/>
    <w:rsid w:val="00DE28BA"/>
    <w:rsid w:val="00DE48C8"/>
    <w:rsid w:val="00DF20FA"/>
    <w:rsid w:val="00DF26C2"/>
    <w:rsid w:val="00DF6797"/>
    <w:rsid w:val="00E03CC8"/>
    <w:rsid w:val="00E04BF4"/>
    <w:rsid w:val="00E10407"/>
    <w:rsid w:val="00E14474"/>
    <w:rsid w:val="00E2208B"/>
    <w:rsid w:val="00E246A2"/>
    <w:rsid w:val="00E2513C"/>
    <w:rsid w:val="00E260B4"/>
    <w:rsid w:val="00E277CC"/>
    <w:rsid w:val="00E3033F"/>
    <w:rsid w:val="00E32777"/>
    <w:rsid w:val="00E33821"/>
    <w:rsid w:val="00E343C0"/>
    <w:rsid w:val="00E375A0"/>
    <w:rsid w:val="00E44F63"/>
    <w:rsid w:val="00E455FD"/>
    <w:rsid w:val="00E463D6"/>
    <w:rsid w:val="00E5598A"/>
    <w:rsid w:val="00E56CE4"/>
    <w:rsid w:val="00E57BA8"/>
    <w:rsid w:val="00E61AF5"/>
    <w:rsid w:val="00E65430"/>
    <w:rsid w:val="00E657C8"/>
    <w:rsid w:val="00E66CD5"/>
    <w:rsid w:val="00E7163A"/>
    <w:rsid w:val="00E755C8"/>
    <w:rsid w:val="00E800B5"/>
    <w:rsid w:val="00E874FF"/>
    <w:rsid w:val="00E90B2A"/>
    <w:rsid w:val="00E93735"/>
    <w:rsid w:val="00E94EC1"/>
    <w:rsid w:val="00E951F1"/>
    <w:rsid w:val="00E96A8D"/>
    <w:rsid w:val="00E96F1B"/>
    <w:rsid w:val="00E978C0"/>
    <w:rsid w:val="00EA2703"/>
    <w:rsid w:val="00EA2AF6"/>
    <w:rsid w:val="00EA57B3"/>
    <w:rsid w:val="00EA5E3A"/>
    <w:rsid w:val="00EB466D"/>
    <w:rsid w:val="00EC39D0"/>
    <w:rsid w:val="00EC5238"/>
    <w:rsid w:val="00EC52ED"/>
    <w:rsid w:val="00EC5B72"/>
    <w:rsid w:val="00EC6716"/>
    <w:rsid w:val="00EC67A8"/>
    <w:rsid w:val="00EC72B6"/>
    <w:rsid w:val="00EC7439"/>
    <w:rsid w:val="00ED3C79"/>
    <w:rsid w:val="00ED6DDD"/>
    <w:rsid w:val="00EE0489"/>
    <w:rsid w:val="00EE1324"/>
    <w:rsid w:val="00EE4D00"/>
    <w:rsid w:val="00EF0B3D"/>
    <w:rsid w:val="00EF1572"/>
    <w:rsid w:val="00EF51D0"/>
    <w:rsid w:val="00F01A69"/>
    <w:rsid w:val="00F02B6E"/>
    <w:rsid w:val="00F04597"/>
    <w:rsid w:val="00F07531"/>
    <w:rsid w:val="00F118A1"/>
    <w:rsid w:val="00F137C9"/>
    <w:rsid w:val="00F16CC1"/>
    <w:rsid w:val="00F22437"/>
    <w:rsid w:val="00F2309C"/>
    <w:rsid w:val="00F25C44"/>
    <w:rsid w:val="00F25E1C"/>
    <w:rsid w:val="00F267FC"/>
    <w:rsid w:val="00F3122F"/>
    <w:rsid w:val="00F3184D"/>
    <w:rsid w:val="00F3217C"/>
    <w:rsid w:val="00F32765"/>
    <w:rsid w:val="00F35607"/>
    <w:rsid w:val="00F35CF6"/>
    <w:rsid w:val="00F36673"/>
    <w:rsid w:val="00F37EB9"/>
    <w:rsid w:val="00F41A92"/>
    <w:rsid w:val="00F43C9D"/>
    <w:rsid w:val="00F503D3"/>
    <w:rsid w:val="00F53066"/>
    <w:rsid w:val="00F53E49"/>
    <w:rsid w:val="00F54F8F"/>
    <w:rsid w:val="00F55B83"/>
    <w:rsid w:val="00F6193B"/>
    <w:rsid w:val="00F61A3C"/>
    <w:rsid w:val="00F61FE9"/>
    <w:rsid w:val="00F752FF"/>
    <w:rsid w:val="00F75699"/>
    <w:rsid w:val="00F75B76"/>
    <w:rsid w:val="00F760EE"/>
    <w:rsid w:val="00F77C61"/>
    <w:rsid w:val="00F77E95"/>
    <w:rsid w:val="00F80D63"/>
    <w:rsid w:val="00F83969"/>
    <w:rsid w:val="00F90AAE"/>
    <w:rsid w:val="00F965B5"/>
    <w:rsid w:val="00F96A86"/>
    <w:rsid w:val="00F97ED6"/>
    <w:rsid w:val="00FA169F"/>
    <w:rsid w:val="00FA4B30"/>
    <w:rsid w:val="00FA7261"/>
    <w:rsid w:val="00FA74D4"/>
    <w:rsid w:val="00FA7676"/>
    <w:rsid w:val="00FB30B6"/>
    <w:rsid w:val="00FB45F0"/>
    <w:rsid w:val="00FB53E9"/>
    <w:rsid w:val="00FB76C3"/>
    <w:rsid w:val="00FC40AE"/>
    <w:rsid w:val="00FC40DB"/>
    <w:rsid w:val="00FD2347"/>
    <w:rsid w:val="00FD4379"/>
    <w:rsid w:val="00FD4F45"/>
    <w:rsid w:val="00FD59C4"/>
    <w:rsid w:val="00FE0C3F"/>
    <w:rsid w:val="00FE1E0A"/>
    <w:rsid w:val="00FE4911"/>
    <w:rsid w:val="00FE6592"/>
    <w:rsid w:val="00FF47C9"/>
    <w:rsid w:val="00FF486B"/>
    <w:rsid w:val="00FF4D9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EB9585-3715-4A83-A2F3-18D326B7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DAE"/>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4E69FB"/>
    <w:pPr>
      <w:keepNext/>
      <w:spacing w:before="240" w:after="60"/>
      <w:outlineLvl w:val="0"/>
    </w:pPr>
    <w:rPr>
      <w:rFonts w:ascii="Cambria" w:eastAsia="SimSun" w:hAnsi="Cambria"/>
      <w:b/>
      <w:bCs/>
      <w:kern w:val="32"/>
      <w:sz w:val="32"/>
      <w:szCs w:val="32"/>
      <w:lang w:eastAsia="x-none"/>
    </w:rPr>
  </w:style>
  <w:style w:type="paragraph" w:styleId="Heading2">
    <w:name w:val="heading 2"/>
    <w:basedOn w:val="Normal"/>
    <w:next w:val="Normal"/>
    <w:link w:val="Heading2Char"/>
    <w:qFormat/>
    <w:rsid w:val="004E69FB"/>
    <w:pPr>
      <w:keepNext/>
      <w:spacing w:line="360" w:lineRule="auto"/>
      <w:jc w:val="center"/>
      <w:outlineLvl w:val="1"/>
    </w:pPr>
    <w:rPr>
      <w:b/>
      <w:bCs/>
      <w:sz w:val="28"/>
      <w:lang w:val="bg-B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E69FB"/>
    <w:rPr>
      <w:rFonts w:ascii="Cambria" w:eastAsia="SimSun" w:hAnsi="Cambria" w:cs="Times New Roman"/>
      <w:b/>
      <w:bCs/>
      <w:kern w:val="32"/>
      <w:sz w:val="32"/>
      <w:szCs w:val="32"/>
      <w:lang w:val="en-GB"/>
    </w:rPr>
  </w:style>
  <w:style w:type="character" w:customStyle="1" w:styleId="Heading2Char">
    <w:name w:val="Heading 2 Char"/>
    <w:link w:val="Heading2"/>
    <w:rsid w:val="004E69FB"/>
    <w:rPr>
      <w:rFonts w:ascii="Times New Roman" w:eastAsia="Times New Roman" w:hAnsi="Times New Roman" w:cs="Times New Roman"/>
      <w:b/>
      <w:bCs/>
      <w:sz w:val="28"/>
      <w:szCs w:val="24"/>
      <w:lang w:val="bg-BG"/>
    </w:rPr>
  </w:style>
  <w:style w:type="paragraph" w:styleId="BodyText">
    <w:name w:val="Body Text"/>
    <w:basedOn w:val="Normal"/>
    <w:link w:val="BodyTextChar"/>
    <w:rsid w:val="004E69FB"/>
    <w:pPr>
      <w:jc w:val="both"/>
    </w:pPr>
    <w:rPr>
      <w:lang w:val="bg-BG" w:eastAsia="x-none"/>
    </w:rPr>
  </w:style>
  <w:style w:type="character" w:customStyle="1" w:styleId="BodyTextChar">
    <w:name w:val="Body Text Char"/>
    <w:link w:val="BodyText"/>
    <w:rsid w:val="004E69FB"/>
    <w:rPr>
      <w:rFonts w:ascii="Times New Roman" w:eastAsia="Times New Roman" w:hAnsi="Times New Roman" w:cs="Times New Roman"/>
      <w:sz w:val="24"/>
      <w:szCs w:val="24"/>
      <w:lang w:val="bg-BG"/>
    </w:rPr>
  </w:style>
  <w:style w:type="paragraph" w:styleId="BodyText2">
    <w:name w:val="Body Text 2"/>
    <w:basedOn w:val="Normal"/>
    <w:link w:val="BodyText2Char"/>
    <w:rsid w:val="004E69FB"/>
    <w:pPr>
      <w:jc w:val="both"/>
    </w:pPr>
    <w:rPr>
      <w:color w:val="FF0000"/>
      <w:sz w:val="20"/>
      <w:szCs w:val="20"/>
      <w:lang w:val="bg-BG" w:eastAsia="x-none"/>
    </w:rPr>
  </w:style>
  <w:style w:type="character" w:customStyle="1" w:styleId="BodyText2Char">
    <w:name w:val="Body Text 2 Char"/>
    <w:link w:val="BodyText2"/>
    <w:rsid w:val="004E69FB"/>
    <w:rPr>
      <w:rFonts w:ascii="Times New Roman" w:eastAsia="Times New Roman" w:hAnsi="Times New Roman" w:cs="Times New Roman"/>
      <w:color w:val="FF0000"/>
      <w:sz w:val="20"/>
      <w:szCs w:val="20"/>
      <w:lang w:val="bg-BG"/>
    </w:rPr>
  </w:style>
  <w:style w:type="paragraph" w:styleId="Header">
    <w:name w:val="header"/>
    <w:aliases w:val="hd,even"/>
    <w:basedOn w:val="Normal"/>
    <w:link w:val="HeaderChar"/>
    <w:rsid w:val="004E69FB"/>
    <w:pPr>
      <w:tabs>
        <w:tab w:val="center" w:pos="4153"/>
        <w:tab w:val="right" w:pos="8306"/>
      </w:tabs>
    </w:pPr>
    <w:rPr>
      <w:lang w:eastAsia="x-none"/>
    </w:rPr>
  </w:style>
  <w:style w:type="character" w:customStyle="1" w:styleId="HeaderChar">
    <w:name w:val="Header Char"/>
    <w:aliases w:val="hd Char,even Char"/>
    <w:link w:val="Header"/>
    <w:rsid w:val="004E69FB"/>
    <w:rPr>
      <w:rFonts w:ascii="Times New Roman" w:eastAsia="Times New Roman" w:hAnsi="Times New Roman" w:cs="Times New Roman"/>
      <w:sz w:val="24"/>
      <w:szCs w:val="24"/>
      <w:lang w:val="en-GB"/>
    </w:rPr>
  </w:style>
  <w:style w:type="paragraph" w:styleId="Footer">
    <w:name w:val="footer"/>
    <w:basedOn w:val="Normal"/>
    <w:link w:val="FooterChar"/>
    <w:rsid w:val="004E69FB"/>
    <w:pPr>
      <w:tabs>
        <w:tab w:val="center" w:pos="4153"/>
        <w:tab w:val="right" w:pos="8306"/>
      </w:tabs>
    </w:pPr>
    <w:rPr>
      <w:lang w:eastAsia="x-none"/>
    </w:rPr>
  </w:style>
  <w:style w:type="character" w:customStyle="1" w:styleId="FooterChar">
    <w:name w:val="Footer Char"/>
    <w:link w:val="Footer"/>
    <w:rsid w:val="004E69FB"/>
    <w:rPr>
      <w:rFonts w:ascii="Times New Roman" w:eastAsia="Times New Roman" w:hAnsi="Times New Roman" w:cs="Times New Roman"/>
      <w:sz w:val="24"/>
      <w:szCs w:val="24"/>
      <w:lang w:val="en-GB"/>
    </w:rPr>
  </w:style>
  <w:style w:type="character" w:styleId="PageNumber">
    <w:name w:val="page number"/>
    <w:basedOn w:val="DefaultParagraphFont"/>
    <w:rsid w:val="004E69FB"/>
  </w:style>
  <w:style w:type="paragraph" w:styleId="NormalWeb">
    <w:name w:val="Normal (Web)"/>
    <w:basedOn w:val="Normal"/>
    <w:uiPriority w:val="99"/>
    <w:rsid w:val="004E69FB"/>
    <w:pPr>
      <w:spacing w:before="100" w:beforeAutospacing="1" w:after="100" w:afterAutospacing="1"/>
    </w:pPr>
    <w:rPr>
      <w:lang w:val="en-US"/>
    </w:rPr>
  </w:style>
  <w:style w:type="character" w:styleId="Hyperlink">
    <w:name w:val="Hyperlink"/>
    <w:rsid w:val="004E69FB"/>
    <w:rPr>
      <w:color w:val="0000FF"/>
      <w:u w:val="single"/>
    </w:rPr>
  </w:style>
  <w:style w:type="paragraph" w:styleId="BodyTextIndent3">
    <w:name w:val="Body Text Indent 3"/>
    <w:basedOn w:val="Normal"/>
    <w:link w:val="BodyTextIndent3Char"/>
    <w:rsid w:val="004E69FB"/>
    <w:pPr>
      <w:spacing w:after="120"/>
      <w:ind w:left="283"/>
    </w:pPr>
    <w:rPr>
      <w:sz w:val="16"/>
      <w:szCs w:val="16"/>
      <w:lang w:eastAsia="x-none"/>
    </w:rPr>
  </w:style>
  <w:style w:type="character" w:customStyle="1" w:styleId="BodyTextIndent3Char">
    <w:name w:val="Body Text Indent 3 Char"/>
    <w:link w:val="BodyTextIndent3"/>
    <w:rsid w:val="004E69FB"/>
    <w:rPr>
      <w:rFonts w:ascii="Times New Roman" w:eastAsia="Times New Roman" w:hAnsi="Times New Roman" w:cs="Times New Roman"/>
      <w:sz w:val="16"/>
      <w:szCs w:val="16"/>
      <w:lang w:val="en-GB"/>
    </w:rPr>
  </w:style>
  <w:style w:type="character" w:styleId="Strong">
    <w:name w:val="Strong"/>
    <w:qFormat/>
    <w:rsid w:val="004E69FB"/>
    <w:rPr>
      <w:b/>
      <w:bCs/>
    </w:rPr>
  </w:style>
  <w:style w:type="paragraph" w:customStyle="1" w:styleId="firstline">
    <w:name w:val="firstline"/>
    <w:basedOn w:val="Normal"/>
    <w:rsid w:val="004E69FB"/>
    <w:pPr>
      <w:spacing w:line="240" w:lineRule="atLeast"/>
      <w:ind w:firstLine="640"/>
      <w:jc w:val="both"/>
    </w:pPr>
    <w:rPr>
      <w:color w:val="000000"/>
      <w:lang w:val="bg-BG" w:eastAsia="bg-BG"/>
    </w:rPr>
  </w:style>
  <w:style w:type="character" w:customStyle="1" w:styleId="news-date">
    <w:name w:val="news-date"/>
    <w:basedOn w:val="DefaultParagraphFont"/>
    <w:rsid w:val="004E69FB"/>
  </w:style>
  <w:style w:type="character" w:customStyle="1" w:styleId="apple-converted-space">
    <w:name w:val="apple-converted-space"/>
    <w:basedOn w:val="DefaultParagraphFont"/>
    <w:rsid w:val="004E69FB"/>
  </w:style>
  <w:style w:type="paragraph" w:styleId="PlainText">
    <w:name w:val="Plain Text"/>
    <w:basedOn w:val="Normal"/>
    <w:link w:val="PlainTextChar"/>
    <w:uiPriority w:val="99"/>
    <w:semiHidden/>
    <w:unhideWhenUsed/>
    <w:rsid w:val="00B86E85"/>
    <w:rPr>
      <w:rFonts w:ascii="Consolas" w:eastAsia="Calibri" w:hAnsi="Consolas"/>
      <w:sz w:val="21"/>
      <w:szCs w:val="21"/>
      <w:lang w:val="x-none" w:eastAsia="x-none"/>
    </w:rPr>
  </w:style>
  <w:style w:type="character" w:customStyle="1" w:styleId="PlainTextChar">
    <w:name w:val="Plain Text Char"/>
    <w:link w:val="PlainText"/>
    <w:uiPriority w:val="99"/>
    <w:semiHidden/>
    <w:rsid w:val="00B86E85"/>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676A9A"/>
    <w:rPr>
      <w:rFonts w:ascii="Tahoma" w:hAnsi="Tahoma"/>
      <w:sz w:val="16"/>
      <w:szCs w:val="16"/>
    </w:rPr>
  </w:style>
  <w:style w:type="character" w:customStyle="1" w:styleId="BalloonTextChar">
    <w:name w:val="Balloon Text Char"/>
    <w:link w:val="BalloonText"/>
    <w:uiPriority w:val="99"/>
    <w:semiHidden/>
    <w:rsid w:val="00676A9A"/>
    <w:rPr>
      <w:rFonts w:ascii="Tahoma" w:eastAsia="Times New Roman" w:hAnsi="Tahoma" w:cs="Tahoma"/>
      <w:sz w:val="16"/>
      <w:szCs w:val="16"/>
      <w:lang w:val="en-GB" w:eastAsia="en-US"/>
    </w:rPr>
  </w:style>
  <w:style w:type="character" w:styleId="FollowedHyperlink">
    <w:name w:val="FollowedHyperlink"/>
    <w:uiPriority w:val="99"/>
    <w:semiHidden/>
    <w:unhideWhenUsed/>
    <w:rsid w:val="005431B8"/>
    <w:rPr>
      <w:color w:val="800080"/>
      <w:u w:val="single"/>
    </w:rPr>
  </w:style>
  <w:style w:type="table" w:customStyle="1" w:styleId="MediumShading2-Accent11">
    <w:name w:val="Medium Shading 2 - Accent 11"/>
    <w:basedOn w:val="TableNormal"/>
    <w:uiPriority w:val="64"/>
    <w:rsid w:val="00FC40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Classic1">
    <w:name w:val="Table Classic 1"/>
    <w:basedOn w:val="TableNormal"/>
    <w:rsid w:val="00C17426"/>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597601"/>
    <w:pPr>
      <w:spacing w:after="200" w:line="276" w:lineRule="auto"/>
      <w:ind w:left="720"/>
      <w:contextualSpacing/>
    </w:pPr>
    <w:rPr>
      <w:rFonts w:ascii="Calibri" w:eastAsia="Calibri" w:hAnsi="Calibri"/>
      <w:noProof/>
      <w:sz w:val="22"/>
      <w:szCs w:val="22"/>
      <w:lang w:val="en-US"/>
    </w:rPr>
  </w:style>
  <w:style w:type="table" w:customStyle="1" w:styleId="MediumShading2-Accent110">
    <w:name w:val="Medium Shading 2 - Accent 11"/>
    <w:basedOn w:val="TableNormal"/>
    <w:uiPriority w:val="64"/>
    <w:rsid w:val="003011BB"/>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uroheading">
    <w:name w:val="euro heading"/>
    <w:basedOn w:val="Normal"/>
    <w:rsid w:val="00615923"/>
    <w:pPr>
      <w:spacing w:line="260" w:lineRule="atLeast"/>
      <w:jc w:val="both"/>
    </w:pPr>
    <w:rPr>
      <w:i/>
      <w:sz w:val="18"/>
      <w:szCs w:val="20"/>
    </w:rPr>
  </w:style>
  <w:style w:type="paragraph" w:customStyle="1" w:styleId="AccountingPolicy">
    <w:name w:val="Accounting Policy"/>
    <w:basedOn w:val="Normal"/>
    <w:link w:val="AccountingPolicyChar"/>
    <w:rsid w:val="00615923"/>
    <w:pPr>
      <w:tabs>
        <w:tab w:val="left" w:pos="1106"/>
        <w:tab w:val="left" w:pos="1502"/>
        <w:tab w:val="left" w:pos="1786"/>
      </w:tabs>
      <w:spacing w:line="260" w:lineRule="atLeast"/>
      <w:ind w:left="1502" w:hanging="1502"/>
      <w:jc w:val="both"/>
    </w:pPr>
    <w:rPr>
      <w:rFonts w:ascii="TimesNewRomanPS" w:hAnsi="TimesNewRomanPS"/>
      <w:snapToGrid w:val="0"/>
      <w:color w:val="000080"/>
      <w:sz w:val="20"/>
      <w:szCs w:val="20"/>
    </w:rPr>
  </w:style>
  <w:style w:type="character" w:customStyle="1" w:styleId="AccountingPolicyChar">
    <w:name w:val="Accounting Policy Char"/>
    <w:link w:val="AccountingPolicy"/>
    <w:locked/>
    <w:rsid w:val="00615923"/>
    <w:rPr>
      <w:rFonts w:ascii="TimesNewRomanPS" w:eastAsia="Times New Roman" w:hAnsi="TimesNewRomanPS"/>
      <w:snapToGrid w:val="0"/>
      <w:color w:val="000080"/>
      <w:lang w:val="en-GB" w:eastAsia="en-US"/>
    </w:rPr>
  </w:style>
  <w:style w:type="paragraph" w:styleId="Title">
    <w:name w:val="Title"/>
    <w:basedOn w:val="Normal"/>
    <w:link w:val="TitleChar"/>
    <w:qFormat/>
    <w:rsid w:val="001B52E2"/>
    <w:pPr>
      <w:jc w:val="center"/>
    </w:pPr>
    <w:rPr>
      <w:rFonts w:ascii="TmsCyr" w:hAnsi="TmsCyr"/>
      <w:b/>
      <w:sz w:val="28"/>
      <w:szCs w:val="20"/>
      <w:u w:val="single"/>
      <w:lang w:val="bg-BG"/>
    </w:rPr>
  </w:style>
  <w:style w:type="character" w:customStyle="1" w:styleId="TitleChar">
    <w:name w:val="Title Char"/>
    <w:link w:val="Title"/>
    <w:rsid w:val="001B52E2"/>
    <w:rPr>
      <w:rFonts w:ascii="TmsCyr" w:eastAsia="Times New Roman" w:hAnsi="TmsCyr"/>
      <w:b/>
      <w:sz w:val="28"/>
      <w:u w:val="single"/>
      <w:lang w:eastAsia="en-US"/>
    </w:rPr>
  </w:style>
  <w:style w:type="character" w:styleId="CommentReference">
    <w:name w:val="annotation reference"/>
    <w:basedOn w:val="DefaultParagraphFont"/>
    <w:uiPriority w:val="99"/>
    <w:semiHidden/>
    <w:unhideWhenUsed/>
    <w:rsid w:val="00D83555"/>
    <w:rPr>
      <w:sz w:val="16"/>
      <w:szCs w:val="16"/>
    </w:rPr>
  </w:style>
  <w:style w:type="paragraph" w:styleId="CommentText">
    <w:name w:val="annotation text"/>
    <w:basedOn w:val="Normal"/>
    <w:link w:val="CommentTextChar"/>
    <w:uiPriority w:val="99"/>
    <w:semiHidden/>
    <w:unhideWhenUsed/>
    <w:rsid w:val="00D83555"/>
    <w:rPr>
      <w:sz w:val="20"/>
      <w:szCs w:val="20"/>
    </w:rPr>
  </w:style>
  <w:style w:type="character" w:customStyle="1" w:styleId="CommentTextChar">
    <w:name w:val="Comment Text Char"/>
    <w:basedOn w:val="DefaultParagraphFont"/>
    <w:link w:val="CommentText"/>
    <w:uiPriority w:val="99"/>
    <w:semiHidden/>
    <w:rsid w:val="00D83555"/>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83555"/>
    <w:rPr>
      <w:b/>
      <w:bCs/>
    </w:rPr>
  </w:style>
  <w:style w:type="character" w:customStyle="1" w:styleId="CommentSubjectChar">
    <w:name w:val="Comment Subject Char"/>
    <w:basedOn w:val="CommentTextChar"/>
    <w:link w:val="CommentSubject"/>
    <w:uiPriority w:val="99"/>
    <w:semiHidden/>
    <w:rsid w:val="00D83555"/>
    <w:rPr>
      <w:rFonts w:ascii="Times New Roman" w:eastAsia="Times New Roman" w:hAnsi="Times New Roman"/>
      <w:b/>
      <w:bCs/>
      <w:lang w:val="en-GB" w:eastAsia="en-US"/>
    </w:rPr>
  </w:style>
  <w:style w:type="paragraph" w:styleId="Revision">
    <w:name w:val="Revision"/>
    <w:hidden/>
    <w:uiPriority w:val="99"/>
    <w:semiHidden/>
    <w:rsid w:val="00B50362"/>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58918">
      <w:bodyDiv w:val="1"/>
      <w:marLeft w:val="0"/>
      <w:marRight w:val="0"/>
      <w:marTop w:val="0"/>
      <w:marBottom w:val="0"/>
      <w:divBdr>
        <w:top w:val="none" w:sz="0" w:space="0" w:color="auto"/>
        <w:left w:val="none" w:sz="0" w:space="0" w:color="auto"/>
        <w:bottom w:val="none" w:sz="0" w:space="0" w:color="auto"/>
        <w:right w:val="none" w:sz="0" w:space="0" w:color="auto"/>
      </w:divBdr>
    </w:div>
    <w:div w:id="325322145">
      <w:bodyDiv w:val="1"/>
      <w:marLeft w:val="0"/>
      <w:marRight w:val="0"/>
      <w:marTop w:val="0"/>
      <w:marBottom w:val="0"/>
      <w:divBdr>
        <w:top w:val="none" w:sz="0" w:space="0" w:color="auto"/>
        <w:left w:val="none" w:sz="0" w:space="0" w:color="auto"/>
        <w:bottom w:val="none" w:sz="0" w:space="0" w:color="auto"/>
        <w:right w:val="none" w:sz="0" w:space="0" w:color="auto"/>
      </w:divBdr>
    </w:div>
    <w:div w:id="335811013">
      <w:bodyDiv w:val="1"/>
      <w:marLeft w:val="0"/>
      <w:marRight w:val="0"/>
      <w:marTop w:val="0"/>
      <w:marBottom w:val="0"/>
      <w:divBdr>
        <w:top w:val="none" w:sz="0" w:space="0" w:color="auto"/>
        <w:left w:val="none" w:sz="0" w:space="0" w:color="auto"/>
        <w:bottom w:val="none" w:sz="0" w:space="0" w:color="auto"/>
        <w:right w:val="none" w:sz="0" w:space="0" w:color="auto"/>
      </w:divBdr>
    </w:div>
    <w:div w:id="457064683">
      <w:bodyDiv w:val="1"/>
      <w:marLeft w:val="0"/>
      <w:marRight w:val="0"/>
      <w:marTop w:val="0"/>
      <w:marBottom w:val="0"/>
      <w:divBdr>
        <w:top w:val="none" w:sz="0" w:space="0" w:color="auto"/>
        <w:left w:val="none" w:sz="0" w:space="0" w:color="auto"/>
        <w:bottom w:val="none" w:sz="0" w:space="0" w:color="auto"/>
        <w:right w:val="none" w:sz="0" w:space="0" w:color="auto"/>
      </w:divBdr>
      <w:divsChild>
        <w:div w:id="388649303">
          <w:marLeft w:val="0"/>
          <w:marRight w:val="0"/>
          <w:marTop w:val="0"/>
          <w:marBottom w:val="0"/>
          <w:divBdr>
            <w:top w:val="none" w:sz="0" w:space="0" w:color="auto"/>
            <w:left w:val="none" w:sz="0" w:space="0" w:color="auto"/>
            <w:bottom w:val="none" w:sz="0" w:space="0" w:color="auto"/>
            <w:right w:val="none" w:sz="0" w:space="0" w:color="auto"/>
          </w:divBdr>
          <w:divsChild>
            <w:div w:id="31241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1472">
      <w:bodyDiv w:val="1"/>
      <w:marLeft w:val="0"/>
      <w:marRight w:val="0"/>
      <w:marTop w:val="0"/>
      <w:marBottom w:val="0"/>
      <w:divBdr>
        <w:top w:val="none" w:sz="0" w:space="0" w:color="auto"/>
        <w:left w:val="none" w:sz="0" w:space="0" w:color="auto"/>
        <w:bottom w:val="none" w:sz="0" w:space="0" w:color="auto"/>
        <w:right w:val="none" w:sz="0" w:space="0" w:color="auto"/>
      </w:divBdr>
    </w:div>
    <w:div w:id="555358049">
      <w:bodyDiv w:val="1"/>
      <w:marLeft w:val="0"/>
      <w:marRight w:val="0"/>
      <w:marTop w:val="0"/>
      <w:marBottom w:val="0"/>
      <w:divBdr>
        <w:top w:val="none" w:sz="0" w:space="0" w:color="auto"/>
        <w:left w:val="none" w:sz="0" w:space="0" w:color="auto"/>
        <w:bottom w:val="none" w:sz="0" w:space="0" w:color="auto"/>
        <w:right w:val="none" w:sz="0" w:space="0" w:color="auto"/>
      </w:divBdr>
    </w:div>
    <w:div w:id="635376140">
      <w:bodyDiv w:val="1"/>
      <w:marLeft w:val="0"/>
      <w:marRight w:val="0"/>
      <w:marTop w:val="0"/>
      <w:marBottom w:val="0"/>
      <w:divBdr>
        <w:top w:val="none" w:sz="0" w:space="0" w:color="auto"/>
        <w:left w:val="none" w:sz="0" w:space="0" w:color="auto"/>
        <w:bottom w:val="none" w:sz="0" w:space="0" w:color="auto"/>
        <w:right w:val="none" w:sz="0" w:space="0" w:color="auto"/>
      </w:divBdr>
    </w:div>
    <w:div w:id="660355602">
      <w:bodyDiv w:val="1"/>
      <w:marLeft w:val="0"/>
      <w:marRight w:val="0"/>
      <w:marTop w:val="0"/>
      <w:marBottom w:val="0"/>
      <w:divBdr>
        <w:top w:val="none" w:sz="0" w:space="0" w:color="auto"/>
        <w:left w:val="none" w:sz="0" w:space="0" w:color="auto"/>
        <w:bottom w:val="none" w:sz="0" w:space="0" w:color="auto"/>
        <w:right w:val="none" w:sz="0" w:space="0" w:color="auto"/>
      </w:divBdr>
    </w:div>
    <w:div w:id="683677204">
      <w:bodyDiv w:val="1"/>
      <w:marLeft w:val="0"/>
      <w:marRight w:val="0"/>
      <w:marTop w:val="0"/>
      <w:marBottom w:val="0"/>
      <w:divBdr>
        <w:top w:val="none" w:sz="0" w:space="0" w:color="auto"/>
        <w:left w:val="none" w:sz="0" w:space="0" w:color="auto"/>
        <w:bottom w:val="none" w:sz="0" w:space="0" w:color="auto"/>
        <w:right w:val="none" w:sz="0" w:space="0" w:color="auto"/>
      </w:divBdr>
    </w:div>
    <w:div w:id="695498747">
      <w:bodyDiv w:val="1"/>
      <w:marLeft w:val="0"/>
      <w:marRight w:val="0"/>
      <w:marTop w:val="0"/>
      <w:marBottom w:val="0"/>
      <w:divBdr>
        <w:top w:val="none" w:sz="0" w:space="0" w:color="auto"/>
        <w:left w:val="none" w:sz="0" w:space="0" w:color="auto"/>
        <w:bottom w:val="none" w:sz="0" w:space="0" w:color="auto"/>
        <w:right w:val="none" w:sz="0" w:space="0" w:color="auto"/>
      </w:divBdr>
    </w:div>
    <w:div w:id="752622994">
      <w:bodyDiv w:val="1"/>
      <w:marLeft w:val="0"/>
      <w:marRight w:val="0"/>
      <w:marTop w:val="0"/>
      <w:marBottom w:val="0"/>
      <w:divBdr>
        <w:top w:val="none" w:sz="0" w:space="0" w:color="auto"/>
        <w:left w:val="none" w:sz="0" w:space="0" w:color="auto"/>
        <w:bottom w:val="none" w:sz="0" w:space="0" w:color="auto"/>
        <w:right w:val="none" w:sz="0" w:space="0" w:color="auto"/>
      </w:divBdr>
      <w:divsChild>
        <w:div w:id="927419208">
          <w:marLeft w:val="0"/>
          <w:marRight w:val="0"/>
          <w:marTop w:val="0"/>
          <w:marBottom w:val="0"/>
          <w:divBdr>
            <w:top w:val="none" w:sz="0" w:space="0" w:color="auto"/>
            <w:left w:val="none" w:sz="0" w:space="0" w:color="auto"/>
            <w:bottom w:val="none" w:sz="0" w:space="0" w:color="auto"/>
            <w:right w:val="none" w:sz="0" w:space="0" w:color="auto"/>
          </w:divBdr>
          <w:divsChild>
            <w:div w:id="9694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2007">
      <w:bodyDiv w:val="1"/>
      <w:marLeft w:val="0"/>
      <w:marRight w:val="0"/>
      <w:marTop w:val="0"/>
      <w:marBottom w:val="0"/>
      <w:divBdr>
        <w:top w:val="none" w:sz="0" w:space="0" w:color="auto"/>
        <w:left w:val="none" w:sz="0" w:space="0" w:color="auto"/>
        <w:bottom w:val="none" w:sz="0" w:space="0" w:color="auto"/>
        <w:right w:val="none" w:sz="0" w:space="0" w:color="auto"/>
      </w:divBdr>
      <w:divsChild>
        <w:div w:id="1857621197">
          <w:marLeft w:val="0"/>
          <w:marRight w:val="0"/>
          <w:marTop w:val="0"/>
          <w:marBottom w:val="0"/>
          <w:divBdr>
            <w:top w:val="none" w:sz="0" w:space="0" w:color="auto"/>
            <w:left w:val="none" w:sz="0" w:space="0" w:color="auto"/>
            <w:bottom w:val="none" w:sz="0" w:space="0" w:color="auto"/>
            <w:right w:val="none" w:sz="0" w:space="0" w:color="auto"/>
          </w:divBdr>
          <w:divsChild>
            <w:div w:id="10070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48241">
      <w:bodyDiv w:val="1"/>
      <w:marLeft w:val="0"/>
      <w:marRight w:val="0"/>
      <w:marTop w:val="0"/>
      <w:marBottom w:val="0"/>
      <w:divBdr>
        <w:top w:val="none" w:sz="0" w:space="0" w:color="auto"/>
        <w:left w:val="none" w:sz="0" w:space="0" w:color="auto"/>
        <w:bottom w:val="none" w:sz="0" w:space="0" w:color="auto"/>
        <w:right w:val="none" w:sz="0" w:space="0" w:color="auto"/>
      </w:divBdr>
      <w:divsChild>
        <w:div w:id="892011228">
          <w:marLeft w:val="0"/>
          <w:marRight w:val="0"/>
          <w:marTop w:val="0"/>
          <w:marBottom w:val="0"/>
          <w:divBdr>
            <w:top w:val="none" w:sz="0" w:space="0" w:color="auto"/>
            <w:left w:val="none" w:sz="0" w:space="0" w:color="auto"/>
            <w:bottom w:val="none" w:sz="0" w:space="0" w:color="auto"/>
            <w:right w:val="none" w:sz="0" w:space="0" w:color="auto"/>
          </w:divBdr>
          <w:divsChild>
            <w:div w:id="102656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60061">
      <w:bodyDiv w:val="1"/>
      <w:marLeft w:val="0"/>
      <w:marRight w:val="0"/>
      <w:marTop w:val="0"/>
      <w:marBottom w:val="0"/>
      <w:divBdr>
        <w:top w:val="none" w:sz="0" w:space="0" w:color="auto"/>
        <w:left w:val="none" w:sz="0" w:space="0" w:color="auto"/>
        <w:bottom w:val="none" w:sz="0" w:space="0" w:color="auto"/>
        <w:right w:val="none" w:sz="0" w:space="0" w:color="auto"/>
      </w:divBdr>
      <w:divsChild>
        <w:div w:id="1083792572">
          <w:marLeft w:val="0"/>
          <w:marRight w:val="0"/>
          <w:marTop w:val="0"/>
          <w:marBottom w:val="0"/>
          <w:divBdr>
            <w:top w:val="none" w:sz="0" w:space="0" w:color="auto"/>
            <w:left w:val="none" w:sz="0" w:space="0" w:color="auto"/>
            <w:bottom w:val="none" w:sz="0" w:space="0" w:color="auto"/>
            <w:right w:val="none" w:sz="0" w:space="0" w:color="auto"/>
          </w:divBdr>
          <w:divsChild>
            <w:div w:id="15306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6325">
      <w:bodyDiv w:val="1"/>
      <w:marLeft w:val="0"/>
      <w:marRight w:val="0"/>
      <w:marTop w:val="0"/>
      <w:marBottom w:val="0"/>
      <w:divBdr>
        <w:top w:val="none" w:sz="0" w:space="0" w:color="auto"/>
        <w:left w:val="none" w:sz="0" w:space="0" w:color="auto"/>
        <w:bottom w:val="none" w:sz="0" w:space="0" w:color="auto"/>
        <w:right w:val="none" w:sz="0" w:space="0" w:color="auto"/>
      </w:divBdr>
      <w:divsChild>
        <w:div w:id="994996824">
          <w:marLeft w:val="0"/>
          <w:marRight w:val="0"/>
          <w:marTop w:val="0"/>
          <w:marBottom w:val="0"/>
          <w:divBdr>
            <w:top w:val="none" w:sz="0" w:space="0" w:color="auto"/>
            <w:left w:val="none" w:sz="0" w:space="0" w:color="auto"/>
            <w:bottom w:val="none" w:sz="0" w:space="0" w:color="auto"/>
            <w:right w:val="none" w:sz="0" w:space="0" w:color="auto"/>
          </w:divBdr>
          <w:divsChild>
            <w:div w:id="998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2049">
      <w:bodyDiv w:val="1"/>
      <w:marLeft w:val="0"/>
      <w:marRight w:val="0"/>
      <w:marTop w:val="0"/>
      <w:marBottom w:val="0"/>
      <w:divBdr>
        <w:top w:val="none" w:sz="0" w:space="0" w:color="auto"/>
        <w:left w:val="none" w:sz="0" w:space="0" w:color="auto"/>
        <w:bottom w:val="none" w:sz="0" w:space="0" w:color="auto"/>
        <w:right w:val="none" w:sz="0" w:space="0" w:color="auto"/>
      </w:divBdr>
      <w:divsChild>
        <w:div w:id="755517343">
          <w:marLeft w:val="0"/>
          <w:marRight w:val="0"/>
          <w:marTop w:val="0"/>
          <w:marBottom w:val="0"/>
          <w:divBdr>
            <w:top w:val="none" w:sz="0" w:space="0" w:color="auto"/>
            <w:left w:val="none" w:sz="0" w:space="0" w:color="auto"/>
            <w:bottom w:val="none" w:sz="0" w:space="0" w:color="auto"/>
            <w:right w:val="none" w:sz="0" w:space="0" w:color="auto"/>
          </w:divBdr>
          <w:divsChild>
            <w:div w:id="145116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2655">
      <w:bodyDiv w:val="1"/>
      <w:marLeft w:val="0"/>
      <w:marRight w:val="0"/>
      <w:marTop w:val="0"/>
      <w:marBottom w:val="0"/>
      <w:divBdr>
        <w:top w:val="none" w:sz="0" w:space="0" w:color="auto"/>
        <w:left w:val="none" w:sz="0" w:space="0" w:color="auto"/>
        <w:bottom w:val="none" w:sz="0" w:space="0" w:color="auto"/>
        <w:right w:val="none" w:sz="0" w:space="0" w:color="auto"/>
      </w:divBdr>
    </w:div>
    <w:div w:id="980422141">
      <w:bodyDiv w:val="1"/>
      <w:marLeft w:val="0"/>
      <w:marRight w:val="0"/>
      <w:marTop w:val="0"/>
      <w:marBottom w:val="0"/>
      <w:divBdr>
        <w:top w:val="none" w:sz="0" w:space="0" w:color="auto"/>
        <w:left w:val="none" w:sz="0" w:space="0" w:color="auto"/>
        <w:bottom w:val="none" w:sz="0" w:space="0" w:color="auto"/>
        <w:right w:val="none" w:sz="0" w:space="0" w:color="auto"/>
      </w:divBdr>
    </w:div>
    <w:div w:id="982735977">
      <w:bodyDiv w:val="1"/>
      <w:marLeft w:val="0"/>
      <w:marRight w:val="0"/>
      <w:marTop w:val="0"/>
      <w:marBottom w:val="0"/>
      <w:divBdr>
        <w:top w:val="none" w:sz="0" w:space="0" w:color="auto"/>
        <w:left w:val="none" w:sz="0" w:space="0" w:color="auto"/>
        <w:bottom w:val="none" w:sz="0" w:space="0" w:color="auto"/>
        <w:right w:val="none" w:sz="0" w:space="0" w:color="auto"/>
      </w:divBdr>
    </w:div>
    <w:div w:id="1144545439">
      <w:bodyDiv w:val="1"/>
      <w:marLeft w:val="0"/>
      <w:marRight w:val="0"/>
      <w:marTop w:val="0"/>
      <w:marBottom w:val="0"/>
      <w:divBdr>
        <w:top w:val="none" w:sz="0" w:space="0" w:color="auto"/>
        <w:left w:val="none" w:sz="0" w:space="0" w:color="auto"/>
        <w:bottom w:val="none" w:sz="0" w:space="0" w:color="auto"/>
        <w:right w:val="none" w:sz="0" w:space="0" w:color="auto"/>
      </w:divBdr>
    </w:div>
    <w:div w:id="1353336062">
      <w:bodyDiv w:val="1"/>
      <w:marLeft w:val="0"/>
      <w:marRight w:val="0"/>
      <w:marTop w:val="0"/>
      <w:marBottom w:val="0"/>
      <w:divBdr>
        <w:top w:val="none" w:sz="0" w:space="0" w:color="auto"/>
        <w:left w:val="none" w:sz="0" w:space="0" w:color="auto"/>
        <w:bottom w:val="none" w:sz="0" w:space="0" w:color="auto"/>
        <w:right w:val="none" w:sz="0" w:space="0" w:color="auto"/>
      </w:divBdr>
    </w:div>
    <w:div w:id="1356270387">
      <w:bodyDiv w:val="1"/>
      <w:marLeft w:val="0"/>
      <w:marRight w:val="0"/>
      <w:marTop w:val="0"/>
      <w:marBottom w:val="0"/>
      <w:divBdr>
        <w:top w:val="none" w:sz="0" w:space="0" w:color="auto"/>
        <w:left w:val="none" w:sz="0" w:space="0" w:color="auto"/>
        <w:bottom w:val="none" w:sz="0" w:space="0" w:color="auto"/>
        <w:right w:val="none" w:sz="0" w:space="0" w:color="auto"/>
      </w:divBdr>
    </w:div>
    <w:div w:id="1397246270">
      <w:bodyDiv w:val="1"/>
      <w:marLeft w:val="0"/>
      <w:marRight w:val="0"/>
      <w:marTop w:val="0"/>
      <w:marBottom w:val="0"/>
      <w:divBdr>
        <w:top w:val="none" w:sz="0" w:space="0" w:color="auto"/>
        <w:left w:val="none" w:sz="0" w:space="0" w:color="auto"/>
        <w:bottom w:val="none" w:sz="0" w:space="0" w:color="auto"/>
        <w:right w:val="none" w:sz="0" w:space="0" w:color="auto"/>
      </w:divBdr>
    </w:div>
    <w:div w:id="1399206678">
      <w:bodyDiv w:val="1"/>
      <w:marLeft w:val="0"/>
      <w:marRight w:val="0"/>
      <w:marTop w:val="0"/>
      <w:marBottom w:val="0"/>
      <w:divBdr>
        <w:top w:val="none" w:sz="0" w:space="0" w:color="auto"/>
        <w:left w:val="none" w:sz="0" w:space="0" w:color="auto"/>
        <w:bottom w:val="none" w:sz="0" w:space="0" w:color="auto"/>
        <w:right w:val="none" w:sz="0" w:space="0" w:color="auto"/>
      </w:divBdr>
      <w:divsChild>
        <w:div w:id="583075742">
          <w:marLeft w:val="0"/>
          <w:marRight w:val="0"/>
          <w:marTop w:val="0"/>
          <w:marBottom w:val="0"/>
          <w:divBdr>
            <w:top w:val="none" w:sz="0" w:space="0" w:color="auto"/>
            <w:left w:val="none" w:sz="0" w:space="0" w:color="auto"/>
            <w:bottom w:val="none" w:sz="0" w:space="0" w:color="auto"/>
            <w:right w:val="none" w:sz="0" w:space="0" w:color="auto"/>
          </w:divBdr>
          <w:divsChild>
            <w:div w:id="5876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39614">
      <w:bodyDiv w:val="1"/>
      <w:marLeft w:val="0"/>
      <w:marRight w:val="0"/>
      <w:marTop w:val="0"/>
      <w:marBottom w:val="0"/>
      <w:divBdr>
        <w:top w:val="none" w:sz="0" w:space="0" w:color="auto"/>
        <w:left w:val="none" w:sz="0" w:space="0" w:color="auto"/>
        <w:bottom w:val="none" w:sz="0" w:space="0" w:color="auto"/>
        <w:right w:val="none" w:sz="0" w:space="0" w:color="auto"/>
      </w:divBdr>
    </w:div>
    <w:div w:id="1738090731">
      <w:bodyDiv w:val="1"/>
      <w:marLeft w:val="0"/>
      <w:marRight w:val="0"/>
      <w:marTop w:val="0"/>
      <w:marBottom w:val="0"/>
      <w:divBdr>
        <w:top w:val="none" w:sz="0" w:space="0" w:color="auto"/>
        <w:left w:val="none" w:sz="0" w:space="0" w:color="auto"/>
        <w:bottom w:val="none" w:sz="0" w:space="0" w:color="auto"/>
        <w:right w:val="none" w:sz="0" w:space="0" w:color="auto"/>
      </w:divBdr>
    </w:div>
    <w:div w:id="1751149830">
      <w:bodyDiv w:val="1"/>
      <w:marLeft w:val="0"/>
      <w:marRight w:val="0"/>
      <w:marTop w:val="0"/>
      <w:marBottom w:val="0"/>
      <w:divBdr>
        <w:top w:val="none" w:sz="0" w:space="0" w:color="auto"/>
        <w:left w:val="none" w:sz="0" w:space="0" w:color="auto"/>
        <w:bottom w:val="none" w:sz="0" w:space="0" w:color="auto"/>
        <w:right w:val="none" w:sz="0" w:space="0" w:color="auto"/>
      </w:divBdr>
    </w:div>
    <w:div w:id="1860001325">
      <w:bodyDiv w:val="1"/>
      <w:marLeft w:val="0"/>
      <w:marRight w:val="0"/>
      <w:marTop w:val="0"/>
      <w:marBottom w:val="0"/>
      <w:divBdr>
        <w:top w:val="none" w:sz="0" w:space="0" w:color="auto"/>
        <w:left w:val="none" w:sz="0" w:space="0" w:color="auto"/>
        <w:bottom w:val="none" w:sz="0" w:space="0" w:color="auto"/>
        <w:right w:val="none" w:sz="0" w:space="0" w:color="auto"/>
      </w:divBdr>
    </w:div>
    <w:div w:id="1877308114">
      <w:bodyDiv w:val="1"/>
      <w:marLeft w:val="0"/>
      <w:marRight w:val="0"/>
      <w:marTop w:val="0"/>
      <w:marBottom w:val="0"/>
      <w:divBdr>
        <w:top w:val="none" w:sz="0" w:space="0" w:color="auto"/>
        <w:left w:val="none" w:sz="0" w:space="0" w:color="auto"/>
        <w:bottom w:val="none" w:sz="0" w:space="0" w:color="auto"/>
        <w:right w:val="none" w:sz="0" w:space="0" w:color="auto"/>
      </w:divBdr>
    </w:div>
    <w:div w:id="1893274470">
      <w:bodyDiv w:val="1"/>
      <w:marLeft w:val="0"/>
      <w:marRight w:val="0"/>
      <w:marTop w:val="0"/>
      <w:marBottom w:val="0"/>
      <w:divBdr>
        <w:top w:val="none" w:sz="0" w:space="0" w:color="auto"/>
        <w:left w:val="none" w:sz="0" w:space="0" w:color="auto"/>
        <w:bottom w:val="none" w:sz="0" w:space="0" w:color="auto"/>
        <w:right w:val="none" w:sz="0" w:space="0" w:color="auto"/>
      </w:divBdr>
      <w:divsChild>
        <w:div w:id="29261245">
          <w:marLeft w:val="0"/>
          <w:marRight w:val="0"/>
          <w:marTop w:val="0"/>
          <w:marBottom w:val="0"/>
          <w:divBdr>
            <w:top w:val="none" w:sz="0" w:space="0" w:color="auto"/>
            <w:left w:val="none" w:sz="0" w:space="0" w:color="auto"/>
            <w:bottom w:val="none" w:sz="0" w:space="0" w:color="auto"/>
            <w:right w:val="none" w:sz="0" w:space="0" w:color="auto"/>
          </w:divBdr>
          <w:divsChild>
            <w:div w:id="2983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67191">
      <w:bodyDiv w:val="1"/>
      <w:marLeft w:val="0"/>
      <w:marRight w:val="0"/>
      <w:marTop w:val="0"/>
      <w:marBottom w:val="0"/>
      <w:divBdr>
        <w:top w:val="none" w:sz="0" w:space="0" w:color="auto"/>
        <w:left w:val="none" w:sz="0" w:space="0" w:color="auto"/>
        <w:bottom w:val="none" w:sz="0" w:space="0" w:color="auto"/>
        <w:right w:val="none" w:sz="0" w:space="0" w:color="auto"/>
      </w:divBdr>
      <w:divsChild>
        <w:div w:id="567107303">
          <w:marLeft w:val="0"/>
          <w:marRight w:val="0"/>
          <w:marTop w:val="0"/>
          <w:marBottom w:val="0"/>
          <w:divBdr>
            <w:top w:val="none" w:sz="0" w:space="0" w:color="auto"/>
            <w:left w:val="none" w:sz="0" w:space="0" w:color="auto"/>
            <w:bottom w:val="none" w:sz="0" w:space="0" w:color="auto"/>
            <w:right w:val="none" w:sz="0" w:space="0" w:color="auto"/>
          </w:divBdr>
          <w:divsChild>
            <w:div w:id="14256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5831">
      <w:bodyDiv w:val="1"/>
      <w:marLeft w:val="0"/>
      <w:marRight w:val="0"/>
      <w:marTop w:val="0"/>
      <w:marBottom w:val="0"/>
      <w:divBdr>
        <w:top w:val="none" w:sz="0" w:space="0" w:color="auto"/>
        <w:left w:val="none" w:sz="0" w:space="0" w:color="auto"/>
        <w:bottom w:val="none" w:sz="0" w:space="0" w:color="auto"/>
        <w:right w:val="none" w:sz="0" w:space="0" w:color="auto"/>
      </w:divBdr>
      <w:divsChild>
        <w:div w:id="35813644">
          <w:marLeft w:val="0"/>
          <w:marRight w:val="0"/>
          <w:marTop w:val="0"/>
          <w:marBottom w:val="0"/>
          <w:divBdr>
            <w:top w:val="none" w:sz="0" w:space="0" w:color="auto"/>
            <w:left w:val="none" w:sz="0" w:space="0" w:color="auto"/>
            <w:bottom w:val="none" w:sz="0" w:space="0" w:color="auto"/>
            <w:right w:val="none" w:sz="0" w:space="0" w:color="auto"/>
          </w:divBdr>
          <w:divsChild>
            <w:div w:id="7550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11339">
      <w:bodyDiv w:val="1"/>
      <w:marLeft w:val="0"/>
      <w:marRight w:val="0"/>
      <w:marTop w:val="0"/>
      <w:marBottom w:val="0"/>
      <w:divBdr>
        <w:top w:val="none" w:sz="0" w:space="0" w:color="auto"/>
        <w:left w:val="none" w:sz="0" w:space="0" w:color="auto"/>
        <w:bottom w:val="none" w:sz="0" w:space="0" w:color="auto"/>
        <w:right w:val="none" w:sz="0" w:space="0" w:color="auto"/>
      </w:divBdr>
    </w:div>
    <w:div w:id="2093234120">
      <w:bodyDiv w:val="1"/>
      <w:marLeft w:val="0"/>
      <w:marRight w:val="0"/>
      <w:marTop w:val="0"/>
      <w:marBottom w:val="0"/>
      <w:divBdr>
        <w:top w:val="none" w:sz="0" w:space="0" w:color="auto"/>
        <w:left w:val="none" w:sz="0" w:space="0" w:color="auto"/>
        <w:bottom w:val="none" w:sz="0" w:space="0" w:color="auto"/>
        <w:right w:val="none" w:sz="0" w:space="0" w:color="auto"/>
      </w:divBdr>
      <w:divsChild>
        <w:div w:id="1757828002">
          <w:marLeft w:val="0"/>
          <w:marRight w:val="0"/>
          <w:marTop w:val="0"/>
          <w:marBottom w:val="0"/>
          <w:divBdr>
            <w:top w:val="none" w:sz="0" w:space="0" w:color="auto"/>
            <w:left w:val="none" w:sz="0" w:space="0" w:color="auto"/>
            <w:bottom w:val="none" w:sz="0" w:space="0" w:color="auto"/>
            <w:right w:val="none" w:sz="0" w:space="0" w:color="auto"/>
          </w:divBdr>
          <w:divsChild>
            <w:div w:id="559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9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59E22-2198-409A-B65C-85EE9D8B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3548</TotalTime>
  <Pages>10</Pages>
  <Words>3497</Words>
  <Characters>19934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Krasimir Tahchiev</dc:creator>
  <cp:keywords/>
  <cp:lastModifiedBy>tahchiev</cp:lastModifiedBy>
  <cp:revision>16</cp:revision>
  <cp:lastPrinted>2012-07-17T12:47:00Z</cp:lastPrinted>
  <dcterms:created xsi:type="dcterms:W3CDTF">2015-08-12T11:17:00Z</dcterms:created>
  <dcterms:modified xsi:type="dcterms:W3CDTF">2015-08-17T14:57:00Z</dcterms:modified>
</cp:coreProperties>
</file>