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2D1" w:rsidRPr="00C66B91" w:rsidRDefault="00E922D1" w:rsidP="00E922D1">
      <w:pPr>
        <w:rPr>
          <w:b/>
          <w:smallCaps/>
          <w:sz w:val="22"/>
          <w:szCs w:val="22"/>
          <w:u w:val="single"/>
          <w:lang w:val="en-GB"/>
        </w:rPr>
      </w:pPr>
    </w:p>
    <w:p w:rsidR="00E922D1" w:rsidRPr="00C66B91" w:rsidRDefault="00E922D1" w:rsidP="00E922D1">
      <w:pPr>
        <w:rPr>
          <w:b/>
          <w:smallCaps/>
          <w:sz w:val="22"/>
          <w:szCs w:val="22"/>
          <w:u w:val="single"/>
          <w:lang w:val="en-GB"/>
        </w:rPr>
      </w:pPr>
    </w:p>
    <w:p w:rsidR="00E922D1" w:rsidRPr="00C66B91" w:rsidRDefault="00E922D1" w:rsidP="00E922D1">
      <w:pPr>
        <w:rPr>
          <w:b/>
          <w:smallCaps/>
          <w:sz w:val="22"/>
          <w:szCs w:val="22"/>
          <w:u w:val="single"/>
          <w:lang w:val="en-GB"/>
        </w:rPr>
      </w:pPr>
    </w:p>
    <w:p w:rsidR="00E922D1" w:rsidRPr="00C66B91" w:rsidRDefault="00E922D1" w:rsidP="00E922D1">
      <w:pPr>
        <w:rPr>
          <w:b/>
          <w:smallCaps/>
          <w:sz w:val="22"/>
          <w:szCs w:val="22"/>
          <w:u w:val="single"/>
          <w:lang w:val="en-GB"/>
        </w:rPr>
      </w:pPr>
    </w:p>
    <w:p w:rsidR="00E922D1" w:rsidRPr="00C66B91" w:rsidRDefault="00E922D1" w:rsidP="00E922D1">
      <w:pPr>
        <w:rPr>
          <w:b/>
          <w:smallCaps/>
          <w:sz w:val="22"/>
          <w:szCs w:val="22"/>
          <w:u w:val="single"/>
          <w:lang w:val="en-GB"/>
        </w:rPr>
      </w:pPr>
    </w:p>
    <w:p w:rsidR="00E922D1" w:rsidRPr="00C66B91" w:rsidRDefault="00E922D1" w:rsidP="00E922D1">
      <w:pPr>
        <w:rPr>
          <w:b/>
          <w:smallCaps/>
          <w:sz w:val="22"/>
          <w:szCs w:val="22"/>
          <w:u w:val="single"/>
          <w:lang w:val="en-GB"/>
        </w:rPr>
      </w:pPr>
    </w:p>
    <w:p w:rsidR="00E922D1" w:rsidRPr="00C66B91" w:rsidRDefault="00E922D1" w:rsidP="00E922D1">
      <w:pPr>
        <w:rPr>
          <w:b/>
          <w:smallCaps/>
          <w:sz w:val="22"/>
          <w:szCs w:val="22"/>
          <w:u w:val="single"/>
          <w:lang w:val="en-GB"/>
        </w:rPr>
      </w:pPr>
    </w:p>
    <w:p w:rsidR="00E922D1" w:rsidRPr="00C66B91" w:rsidRDefault="00E922D1" w:rsidP="00E922D1">
      <w:pPr>
        <w:rPr>
          <w:b/>
          <w:smallCaps/>
          <w:sz w:val="22"/>
          <w:szCs w:val="22"/>
          <w:u w:val="single"/>
          <w:lang w:val="en-GB"/>
        </w:rPr>
      </w:pPr>
    </w:p>
    <w:p w:rsidR="00E922D1" w:rsidRPr="00C66B91" w:rsidRDefault="00E922D1" w:rsidP="00E922D1">
      <w:pPr>
        <w:rPr>
          <w:b/>
          <w:smallCaps/>
          <w:sz w:val="22"/>
          <w:szCs w:val="22"/>
          <w:u w:val="single"/>
          <w:lang w:val="en-GB"/>
        </w:rPr>
      </w:pPr>
    </w:p>
    <w:p w:rsidR="00E922D1" w:rsidRPr="00C66B91" w:rsidRDefault="00E922D1" w:rsidP="00E922D1">
      <w:pPr>
        <w:rPr>
          <w:b/>
          <w:smallCaps/>
          <w:sz w:val="22"/>
          <w:szCs w:val="22"/>
          <w:u w:val="single"/>
          <w:lang w:val="en-GB"/>
        </w:rPr>
      </w:pPr>
    </w:p>
    <w:p w:rsidR="00E922D1" w:rsidRPr="00C66B91" w:rsidRDefault="00E922D1" w:rsidP="00E922D1">
      <w:pPr>
        <w:rPr>
          <w:b/>
          <w:smallCaps/>
          <w:sz w:val="22"/>
          <w:szCs w:val="22"/>
          <w:u w:val="single"/>
          <w:lang w:val="en-GB"/>
        </w:rPr>
      </w:pPr>
    </w:p>
    <w:p w:rsidR="00E922D1" w:rsidRPr="00C66B91" w:rsidRDefault="00E922D1" w:rsidP="00E922D1">
      <w:pPr>
        <w:rPr>
          <w:b/>
          <w:smallCaps/>
          <w:sz w:val="22"/>
          <w:szCs w:val="22"/>
          <w:u w:val="single"/>
          <w:lang w:val="en-GB"/>
        </w:rPr>
      </w:pPr>
    </w:p>
    <w:p w:rsidR="00E922D1" w:rsidRPr="00C66B91" w:rsidRDefault="00E922D1" w:rsidP="00E922D1">
      <w:pPr>
        <w:rPr>
          <w:b/>
          <w:smallCaps/>
          <w:sz w:val="22"/>
          <w:szCs w:val="22"/>
          <w:u w:val="single"/>
          <w:lang w:val="en-GB"/>
        </w:rPr>
      </w:pPr>
    </w:p>
    <w:p w:rsidR="000F67DB" w:rsidRPr="00C66B91" w:rsidRDefault="000F67DB" w:rsidP="000F67DB">
      <w:pPr>
        <w:jc w:val="center"/>
        <w:rPr>
          <w:b/>
          <w:sz w:val="22"/>
          <w:szCs w:val="22"/>
          <w:lang w:val="en-GB"/>
        </w:rPr>
      </w:pPr>
      <w:r w:rsidRPr="00C66B91">
        <w:rPr>
          <w:b/>
          <w:sz w:val="22"/>
          <w:szCs w:val="22"/>
          <w:lang w:val="en-GB"/>
        </w:rPr>
        <w:t>SPEEDY AD</w:t>
      </w:r>
    </w:p>
    <w:p w:rsidR="000F67DB" w:rsidRPr="00C66B91" w:rsidRDefault="000F67DB" w:rsidP="000F67DB">
      <w:pPr>
        <w:jc w:val="center"/>
        <w:rPr>
          <w:b/>
          <w:sz w:val="22"/>
          <w:szCs w:val="22"/>
          <w:lang w:val="en-GB"/>
        </w:rPr>
      </w:pPr>
      <w:r w:rsidRPr="00C66B91">
        <w:rPr>
          <w:b/>
          <w:sz w:val="22"/>
          <w:szCs w:val="22"/>
          <w:lang w:val="en-GB"/>
        </w:rPr>
        <w:t>SOFIA</w:t>
      </w:r>
    </w:p>
    <w:p w:rsidR="000F67DB" w:rsidRPr="00C66B91" w:rsidRDefault="000F67DB" w:rsidP="000F67DB">
      <w:pPr>
        <w:jc w:val="center"/>
        <w:rPr>
          <w:b/>
          <w:sz w:val="22"/>
          <w:szCs w:val="22"/>
          <w:lang w:val="en-GB"/>
        </w:rPr>
      </w:pPr>
    </w:p>
    <w:p w:rsidR="000F67DB" w:rsidRPr="00C66B91" w:rsidRDefault="000F67DB" w:rsidP="000F67DB">
      <w:pPr>
        <w:jc w:val="center"/>
        <w:rPr>
          <w:b/>
          <w:sz w:val="22"/>
          <w:szCs w:val="22"/>
          <w:lang w:val="en-GB"/>
        </w:rPr>
      </w:pPr>
    </w:p>
    <w:p w:rsidR="000F67DB" w:rsidRPr="00C66B91" w:rsidRDefault="000F67DB" w:rsidP="000F67DB">
      <w:pPr>
        <w:jc w:val="center"/>
        <w:rPr>
          <w:b/>
          <w:sz w:val="22"/>
          <w:szCs w:val="22"/>
          <w:lang w:val="en-GB"/>
        </w:rPr>
      </w:pPr>
      <w:r w:rsidRPr="00C66B91">
        <w:rPr>
          <w:b/>
          <w:sz w:val="22"/>
          <w:szCs w:val="22"/>
          <w:lang w:val="en-GB"/>
        </w:rPr>
        <w:t>CONSOLIDATED FINANCIAL STATEMENT</w:t>
      </w:r>
    </w:p>
    <w:p w:rsidR="000F67DB" w:rsidRPr="00C66B91" w:rsidRDefault="000F67DB" w:rsidP="000F67DB">
      <w:pPr>
        <w:jc w:val="center"/>
        <w:rPr>
          <w:b/>
          <w:sz w:val="22"/>
          <w:szCs w:val="22"/>
          <w:lang w:val="en-GB"/>
        </w:rPr>
      </w:pPr>
    </w:p>
    <w:p w:rsidR="000F67DB" w:rsidRPr="00C66B91" w:rsidRDefault="000F67DB" w:rsidP="000F67DB">
      <w:pPr>
        <w:jc w:val="center"/>
        <w:rPr>
          <w:b/>
          <w:sz w:val="22"/>
          <w:szCs w:val="22"/>
          <w:lang w:val="en-GB"/>
        </w:rPr>
      </w:pPr>
    </w:p>
    <w:p w:rsidR="00E922D1" w:rsidRPr="00C66B91" w:rsidRDefault="000F67DB" w:rsidP="000F67DB">
      <w:pPr>
        <w:jc w:val="center"/>
        <w:rPr>
          <w:b/>
          <w:smallCaps/>
          <w:sz w:val="22"/>
          <w:szCs w:val="22"/>
          <w:u w:val="single"/>
          <w:lang w:val="en-GB"/>
        </w:rPr>
      </w:pPr>
      <w:r w:rsidRPr="00C66B91">
        <w:rPr>
          <w:b/>
          <w:sz w:val="22"/>
          <w:szCs w:val="22"/>
          <w:lang w:val="en-GB"/>
        </w:rPr>
        <w:t>30 JUNE 2015</w:t>
      </w:r>
      <w:r w:rsidR="00E922D1" w:rsidRPr="00C66B91">
        <w:rPr>
          <w:b/>
          <w:smallCaps/>
          <w:sz w:val="22"/>
          <w:szCs w:val="22"/>
          <w:u w:val="single"/>
          <w:lang w:val="en-GB"/>
        </w:rPr>
        <w:br w:type="page"/>
      </w:r>
    </w:p>
    <w:p w:rsidR="000F67DB" w:rsidRPr="00C66B91" w:rsidRDefault="000F67DB" w:rsidP="000F67DB">
      <w:pPr>
        <w:rPr>
          <w:b/>
          <w:smallCaps/>
          <w:sz w:val="22"/>
          <w:szCs w:val="22"/>
          <w:lang w:val="en-GB"/>
        </w:rPr>
      </w:pPr>
      <w:r w:rsidRPr="00C66B91">
        <w:rPr>
          <w:b/>
          <w:smallCaps/>
          <w:sz w:val="22"/>
          <w:szCs w:val="22"/>
          <w:u w:val="single"/>
          <w:lang w:val="en-GB"/>
        </w:rPr>
        <w:lastRenderedPageBreak/>
        <w:t>CONTENTS</w:t>
      </w:r>
      <w:r w:rsidRPr="00C66B91">
        <w:rPr>
          <w:b/>
          <w:smallCaps/>
          <w:sz w:val="22"/>
          <w:szCs w:val="22"/>
          <w:lang w:val="en-GB"/>
        </w:rPr>
        <w:tab/>
      </w:r>
      <w:r w:rsidRPr="00C66B91">
        <w:rPr>
          <w:b/>
          <w:smallCaps/>
          <w:sz w:val="22"/>
          <w:szCs w:val="22"/>
          <w:lang w:val="en-GB"/>
        </w:rPr>
        <w:tab/>
      </w:r>
      <w:r w:rsidRPr="00C66B91">
        <w:rPr>
          <w:b/>
          <w:smallCaps/>
          <w:sz w:val="22"/>
          <w:szCs w:val="22"/>
          <w:lang w:val="en-GB"/>
        </w:rPr>
        <w:tab/>
      </w:r>
      <w:r w:rsidRPr="00C66B91">
        <w:rPr>
          <w:b/>
          <w:smallCaps/>
          <w:sz w:val="22"/>
          <w:szCs w:val="22"/>
          <w:lang w:val="en-GB"/>
        </w:rPr>
        <w:tab/>
      </w:r>
      <w:r w:rsidRPr="00C66B91">
        <w:rPr>
          <w:b/>
          <w:smallCaps/>
          <w:sz w:val="22"/>
          <w:szCs w:val="22"/>
          <w:lang w:val="en-GB"/>
        </w:rPr>
        <w:tab/>
      </w:r>
      <w:r w:rsidRPr="00C66B91">
        <w:rPr>
          <w:b/>
          <w:smallCaps/>
          <w:sz w:val="22"/>
          <w:szCs w:val="22"/>
          <w:lang w:val="en-GB"/>
        </w:rPr>
        <w:tab/>
      </w:r>
      <w:r w:rsidRPr="00C66B91">
        <w:rPr>
          <w:b/>
          <w:smallCaps/>
          <w:sz w:val="22"/>
          <w:szCs w:val="22"/>
          <w:lang w:val="en-GB"/>
        </w:rPr>
        <w:tab/>
      </w:r>
      <w:r w:rsidRPr="00C66B91">
        <w:rPr>
          <w:b/>
          <w:smallCaps/>
          <w:sz w:val="22"/>
          <w:szCs w:val="22"/>
          <w:lang w:val="en-GB"/>
        </w:rPr>
        <w:tab/>
      </w:r>
      <w:r w:rsidRPr="00C66B91">
        <w:rPr>
          <w:b/>
          <w:smallCaps/>
          <w:sz w:val="22"/>
          <w:szCs w:val="22"/>
          <w:lang w:val="en-GB"/>
        </w:rPr>
        <w:tab/>
      </w:r>
      <w:r w:rsidRPr="00C66B91">
        <w:rPr>
          <w:b/>
          <w:smallCaps/>
          <w:sz w:val="22"/>
          <w:szCs w:val="22"/>
          <w:u w:val="single"/>
          <w:lang w:val="en-GB"/>
        </w:rPr>
        <w:t>PAGE</w:t>
      </w:r>
    </w:p>
    <w:p w:rsidR="000F67DB" w:rsidRPr="00C66B91" w:rsidRDefault="000F67DB" w:rsidP="000F67DB">
      <w:pPr>
        <w:tabs>
          <w:tab w:val="left" w:pos="2535"/>
          <w:tab w:val="left" w:pos="7560"/>
        </w:tabs>
        <w:rPr>
          <w:smallCaps/>
          <w:sz w:val="22"/>
          <w:szCs w:val="22"/>
          <w:lang w:val="en-GB"/>
        </w:rPr>
      </w:pPr>
      <w:r w:rsidRPr="00C66B91">
        <w:rPr>
          <w:smallCaps/>
          <w:sz w:val="22"/>
          <w:szCs w:val="22"/>
          <w:lang w:val="en-GB"/>
        </w:rPr>
        <w:tab/>
      </w:r>
    </w:p>
    <w:p w:rsidR="000F67DB" w:rsidRPr="00C66B91" w:rsidRDefault="000F67DB" w:rsidP="000F67DB">
      <w:pPr>
        <w:rPr>
          <w:smallCaps/>
          <w:sz w:val="22"/>
          <w:szCs w:val="22"/>
          <w:lang w:val="en-GB"/>
        </w:rPr>
      </w:pPr>
    </w:p>
    <w:p w:rsidR="000F67DB" w:rsidRPr="00C66B91" w:rsidRDefault="000F67DB" w:rsidP="000F67DB">
      <w:pPr>
        <w:rPr>
          <w:smallCaps/>
          <w:sz w:val="22"/>
          <w:szCs w:val="22"/>
          <w:lang w:val="en-GB"/>
        </w:rPr>
      </w:pPr>
    </w:p>
    <w:p w:rsidR="000F67DB" w:rsidRPr="00C66B91" w:rsidRDefault="000F67DB" w:rsidP="000F67DB">
      <w:pPr>
        <w:rPr>
          <w:smallCaps/>
          <w:sz w:val="22"/>
          <w:szCs w:val="22"/>
          <w:lang w:val="en-GB"/>
        </w:rPr>
      </w:pPr>
      <w:r w:rsidRPr="00C66B91">
        <w:rPr>
          <w:smallCaps/>
          <w:sz w:val="22"/>
          <w:szCs w:val="22"/>
          <w:lang w:val="en-GB"/>
        </w:rPr>
        <w:t>MANAGEMENT REPORT</w:t>
      </w:r>
      <w:r w:rsidRPr="00C66B91">
        <w:rPr>
          <w:smallCaps/>
          <w:sz w:val="22"/>
          <w:szCs w:val="22"/>
          <w:lang w:val="en-GB"/>
        </w:rPr>
        <w:tab/>
        <w:t xml:space="preserve">            </w:t>
      </w:r>
      <w:r w:rsidRPr="00C66B91">
        <w:rPr>
          <w:smallCaps/>
          <w:sz w:val="22"/>
          <w:szCs w:val="22"/>
          <w:lang w:val="en-GB"/>
        </w:rPr>
        <w:tab/>
        <w:t xml:space="preserve">                                                                                 </w:t>
      </w:r>
      <w:r w:rsidRPr="00C66B91">
        <w:rPr>
          <w:smallCaps/>
          <w:sz w:val="22"/>
          <w:szCs w:val="22"/>
          <w:lang w:val="en-GB"/>
        </w:rPr>
        <w:tab/>
        <w:t>5</w:t>
      </w:r>
    </w:p>
    <w:p w:rsidR="000F67DB" w:rsidRPr="00C66B91" w:rsidRDefault="000F67DB" w:rsidP="000F67DB">
      <w:pPr>
        <w:rPr>
          <w:smallCaps/>
          <w:sz w:val="22"/>
          <w:szCs w:val="22"/>
          <w:lang w:val="en-GB"/>
        </w:rPr>
      </w:pPr>
    </w:p>
    <w:p w:rsidR="000F67DB" w:rsidRPr="00C66B91" w:rsidRDefault="000F67DB" w:rsidP="000F67DB">
      <w:pPr>
        <w:rPr>
          <w:smallCaps/>
          <w:sz w:val="22"/>
          <w:szCs w:val="22"/>
          <w:lang w:val="en-GB"/>
        </w:rPr>
      </w:pPr>
      <w:r w:rsidRPr="00C66B91">
        <w:rPr>
          <w:smallCaps/>
          <w:sz w:val="22"/>
          <w:szCs w:val="22"/>
          <w:lang w:val="en-GB"/>
        </w:rPr>
        <w:t>CONSOLIDATED STATEMENT OF COMPREHENSIVE INCOME</w:t>
      </w:r>
      <w:r w:rsidRPr="00C66B91">
        <w:rPr>
          <w:smallCaps/>
          <w:sz w:val="22"/>
          <w:szCs w:val="22"/>
          <w:lang w:val="en-GB"/>
        </w:rPr>
        <w:tab/>
      </w:r>
      <w:r w:rsidRPr="00C66B91">
        <w:rPr>
          <w:smallCaps/>
          <w:sz w:val="22"/>
          <w:szCs w:val="22"/>
          <w:lang w:val="en-GB"/>
        </w:rPr>
        <w:tab/>
        <w:t xml:space="preserve">                12</w:t>
      </w:r>
    </w:p>
    <w:p w:rsidR="000F67DB" w:rsidRPr="00C66B91" w:rsidRDefault="000F67DB" w:rsidP="000F67DB">
      <w:pPr>
        <w:rPr>
          <w:smallCaps/>
          <w:sz w:val="22"/>
          <w:szCs w:val="22"/>
          <w:lang w:val="en-GB"/>
        </w:rPr>
      </w:pPr>
    </w:p>
    <w:p w:rsidR="000F67DB" w:rsidRPr="00C66B91" w:rsidRDefault="000F67DB" w:rsidP="000F67DB">
      <w:pPr>
        <w:rPr>
          <w:smallCaps/>
          <w:sz w:val="22"/>
          <w:szCs w:val="22"/>
          <w:lang w:val="en-GB"/>
        </w:rPr>
      </w:pPr>
      <w:r w:rsidRPr="00C66B91">
        <w:rPr>
          <w:smallCaps/>
          <w:sz w:val="22"/>
          <w:szCs w:val="22"/>
          <w:lang w:val="en-GB"/>
        </w:rPr>
        <w:t>CONSOLIDATED STATEMENT OF FINANCIAL POSITION</w:t>
      </w:r>
      <w:r w:rsidRPr="00C66B91">
        <w:rPr>
          <w:smallCaps/>
          <w:sz w:val="22"/>
          <w:szCs w:val="22"/>
          <w:lang w:val="en-GB"/>
        </w:rPr>
        <w:tab/>
      </w:r>
      <w:r w:rsidRPr="00C66B91">
        <w:rPr>
          <w:smallCaps/>
          <w:sz w:val="22"/>
          <w:szCs w:val="22"/>
          <w:lang w:val="en-GB"/>
        </w:rPr>
        <w:tab/>
      </w:r>
      <w:r w:rsidRPr="00C66B91">
        <w:rPr>
          <w:smallCaps/>
          <w:sz w:val="22"/>
          <w:szCs w:val="22"/>
          <w:lang w:val="en-GB"/>
        </w:rPr>
        <w:tab/>
      </w:r>
      <w:r w:rsidRPr="00C66B91">
        <w:rPr>
          <w:smallCaps/>
          <w:sz w:val="22"/>
          <w:szCs w:val="22"/>
          <w:lang w:val="en-GB"/>
        </w:rPr>
        <w:tab/>
        <w:t>13</w:t>
      </w:r>
    </w:p>
    <w:p w:rsidR="000F67DB" w:rsidRPr="00C66B91" w:rsidRDefault="000F67DB" w:rsidP="000F67DB">
      <w:pPr>
        <w:rPr>
          <w:smallCaps/>
          <w:sz w:val="22"/>
          <w:szCs w:val="22"/>
          <w:lang w:val="en-GB"/>
        </w:rPr>
      </w:pPr>
    </w:p>
    <w:p w:rsidR="000F67DB" w:rsidRPr="00C66B91" w:rsidRDefault="000F67DB" w:rsidP="000F67DB">
      <w:pPr>
        <w:rPr>
          <w:smallCaps/>
          <w:sz w:val="22"/>
          <w:szCs w:val="22"/>
          <w:lang w:val="en-GB"/>
        </w:rPr>
      </w:pPr>
      <w:r w:rsidRPr="00C66B91">
        <w:rPr>
          <w:smallCaps/>
          <w:sz w:val="22"/>
          <w:szCs w:val="22"/>
          <w:lang w:val="en-GB"/>
        </w:rPr>
        <w:t>CONSOLIDATED CASH-FLOW STATEMENT</w:t>
      </w:r>
      <w:r w:rsidRPr="00C66B91">
        <w:rPr>
          <w:smallCaps/>
          <w:sz w:val="22"/>
          <w:szCs w:val="22"/>
          <w:lang w:val="en-GB"/>
        </w:rPr>
        <w:tab/>
      </w:r>
      <w:r w:rsidRPr="00C66B91">
        <w:rPr>
          <w:smallCaps/>
          <w:sz w:val="22"/>
          <w:szCs w:val="22"/>
          <w:lang w:val="en-GB"/>
        </w:rPr>
        <w:tab/>
      </w:r>
      <w:r w:rsidRPr="00C66B91">
        <w:rPr>
          <w:smallCaps/>
          <w:sz w:val="22"/>
          <w:szCs w:val="22"/>
          <w:lang w:val="en-GB"/>
        </w:rPr>
        <w:tab/>
      </w:r>
      <w:r w:rsidRPr="00C66B91">
        <w:rPr>
          <w:smallCaps/>
          <w:sz w:val="22"/>
          <w:szCs w:val="22"/>
          <w:lang w:val="en-GB"/>
        </w:rPr>
        <w:tab/>
      </w:r>
      <w:r w:rsidRPr="00C66B91">
        <w:rPr>
          <w:smallCaps/>
          <w:sz w:val="22"/>
          <w:szCs w:val="22"/>
          <w:lang w:val="en-GB"/>
        </w:rPr>
        <w:tab/>
        <w:t>15</w:t>
      </w:r>
    </w:p>
    <w:p w:rsidR="000F67DB" w:rsidRPr="00C66B91" w:rsidRDefault="000F67DB" w:rsidP="000F67DB">
      <w:pPr>
        <w:rPr>
          <w:smallCaps/>
          <w:sz w:val="22"/>
          <w:szCs w:val="22"/>
          <w:lang w:val="en-GB"/>
        </w:rPr>
      </w:pPr>
    </w:p>
    <w:p w:rsidR="000F67DB" w:rsidRPr="00C66B91" w:rsidRDefault="000F67DB" w:rsidP="000F67DB">
      <w:pPr>
        <w:rPr>
          <w:smallCaps/>
          <w:sz w:val="22"/>
          <w:szCs w:val="22"/>
          <w:lang w:val="en-GB"/>
        </w:rPr>
      </w:pPr>
      <w:r w:rsidRPr="00C66B91">
        <w:rPr>
          <w:smallCaps/>
          <w:sz w:val="22"/>
          <w:szCs w:val="22"/>
          <w:lang w:val="en-GB"/>
        </w:rPr>
        <w:t>CONSOLIDATED STATEMENT OF CHANGES IN EQUITY</w:t>
      </w:r>
      <w:r w:rsidRPr="00C66B91">
        <w:rPr>
          <w:smallCaps/>
          <w:sz w:val="22"/>
          <w:szCs w:val="22"/>
          <w:lang w:val="en-GB"/>
        </w:rPr>
        <w:tab/>
      </w:r>
      <w:r w:rsidRPr="00C66B91">
        <w:rPr>
          <w:smallCaps/>
          <w:sz w:val="22"/>
          <w:szCs w:val="22"/>
          <w:lang w:val="en-GB"/>
        </w:rPr>
        <w:tab/>
      </w:r>
      <w:r w:rsidRPr="00C66B91">
        <w:rPr>
          <w:smallCaps/>
          <w:sz w:val="22"/>
          <w:szCs w:val="22"/>
          <w:lang w:val="en-GB"/>
        </w:rPr>
        <w:tab/>
        <w:t xml:space="preserve">                16</w:t>
      </w:r>
    </w:p>
    <w:p w:rsidR="000F67DB" w:rsidRPr="00C66B91" w:rsidRDefault="000F67DB" w:rsidP="000F67DB">
      <w:pPr>
        <w:rPr>
          <w:smallCaps/>
          <w:sz w:val="22"/>
          <w:szCs w:val="22"/>
          <w:lang w:val="en-GB"/>
        </w:rPr>
      </w:pPr>
    </w:p>
    <w:p w:rsidR="000F67DB" w:rsidRPr="00C66B91" w:rsidRDefault="000F67DB" w:rsidP="000F67DB">
      <w:pPr>
        <w:rPr>
          <w:smallCaps/>
          <w:sz w:val="22"/>
          <w:szCs w:val="22"/>
          <w:lang w:val="en-GB"/>
        </w:rPr>
      </w:pPr>
      <w:r w:rsidRPr="00C66B91">
        <w:rPr>
          <w:smallCaps/>
          <w:sz w:val="22"/>
          <w:szCs w:val="22"/>
          <w:lang w:val="en-GB"/>
        </w:rPr>
        <w:t>NOTES TO THE CONSOLIDATED FINANCIAL STATEMENT</w:t>
      </w:r>
      <w:r w:rsidRPr="00C66B91">
        <w:rPr>
          <w:smallCaps/>
          <w:sz w:val="22"/>
          <w:szCs w:val="22"/>
          <w:lang w:val="en-GB"/>
        </w:rPr>
        <w:tab/>
      </w:r>
      <w:r w:rsidRPr="00C66B91">
        <w:rPr>
          <w:smallCaps/>
          <w:sz w:val="22"/>
          <w:szCs w:val="22"/>
          <w:lang w:val="en-GB"/>
        </w:rPr>
        <w:tab/>
        <w:t xml:space="preserve">                17</w:t>
      </w: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sectPr w:rsidR="00E922D1" w:rsidRPr="00C66B91" w:rsidSect="00E922D1">
          <w:footerReference w:type="default" r:id="rId7"/>
          <w:headerReference w:type="first" r:id="rId8"/>
          <w:pgSz w:w="11907" w:h="16840" w:code="9"/>
          <w:pgMar w:top="1411" w:right="1287" w:bottom="1080" w:left="1260" w:header="708" w:footer="708" w:gutter="0"/>
          <w:cols w:space="708"/>
          <w:noEndnote/>
          <w:titlePg/>
        </w:sectPr>
      </w:pPr>
    </w:p>
    <w:p w:rsidR="00E922D1" w:rsidRPr="00C66B91" w:rsidRDefault="00E922D1" w:rsidP="00E922D1">
      <w:pPr>
        <w:rPr>
          <w:smallCaps/>
          <w:sz w:val="22"/>
          <w:szCs w:val="22"/>
          <w:lang w:val="en-GB"/>
        </w:rPr>
      </w:pPr>
    </w:p>
    <w:p w:rsidR="00E922D1" w:rsidRPr="00C66B91" w:rsidRDefault="00E922D1" w:rsidP="00E922D1">
      <w:pPr>
        <w:rPr>
          <w:smallCaps/>
          <w:sz w:val="22"/>
          <w:szCs w:val="22"/>
          <w:lang w:val="en-GB"/>
        </w:rPr>
      </w:pPr>
    </w:p>
    <w:p w:rsidR="00E922D1" w:rsidRPr="00C66B91" w:rsidRDefault="00E922D1" w:rsidP="00E922D1">
      <w:pPr>
        <w:jc w:val="both"/>
        <w:rPr>
          <w:b/>
          <w:sz w:val="22"/>
          <w:szCs w:val="22"/>
          <w:lang w:val="en-GB"/>
        </w:rPr>
      </w:pPr>
    </w:p>
    <w:p w:rsidR="00E922D1" w:rsidRPr="00C66B91" w:rsidRDefault="00E922D1" w:rsidP="00E922D1">
      <w:pPr>
        <w:jc w:val="both"/>
        <w:rPr>
          <w:b/>
          <w:sz w:val="22"/>
          <w:szCs w:val="22"/>
          <w:lang w:val="en-GB"/>
        </w:rPr>
      </w:pPr>
    </w:p>
    <w:p w:rsidR="00E922D1" w:rsidRPr="00C66B91" w:rsidRDefault="00E922D1" w:rsidP="00E922D1">
      <w:pPr>
        <w:jc w:val="both"/>
        <w:rPr>
          <w:b/>
          <w:sz w:val="22"/>
          <w:szCs w:val="22"/>
          <w:lang w:val="en-GB"/>
        </w:rPr>
      </w:pPr>
    </w:p>
    <w:p w:rsidR="00D92459" w:rsidRPr="00C66B91" w:rsidRDefault="00D92459" w:rsidP="00E922D1">
      <w:pPr>
        <w:jc w:val="both"/>
        <w:rPr>
          <w:b/>
          <w:sz w:val="22"/>
          <w:szCs w:val="22"/>
          <w:lang w:val="en-GB"/>
        </w:rPr>
      </w:pPr>
    </w:p>
    <w:p w:rsidR="00D92459" w:rsidRPr="00C66B91" w:rsidRDefault="00D92459" w:rsidP="00E922D1">
      <w:pPr>
        <w:jc w:val="both"/>
        <w:rPr>
          <w:b/>
          <w:sz w:val="22"/>
          <w:szCs w:val="22"/>
          <w:lang w:val="en-GB"/>
        </w:rPr>
      </w:pPr>
    </w:p>
    <w:p w:rsidR="00D92459" w:rsidRPr="00C66B91" w:rsidRDefault="00D92459" w:rsidP="00E922D1">
      <w:pPr>
        <w:jc w:val="both"/>
        <w:rPr>
          <w:b/>
          <w:sz w:val="22"/>
          <w:szCs w:val="22"/>
          <w:lang w:val="en-GB"/>
        </w:rPr>
      </w:pPr>
    </w:p>
    <w:p w:rsidR="00E922D1" w:rsidRPr="00C66B91" w:rsidRDefault="00E922D1" w:rsidP="00E922D1">
      <w:pPr>
        <w:jc w:val="both"/>
        <w:rPr>
          <w:b/>
          <w:caps/>
          <w:sz w:val="22"/>
          <w:szCs w:val="22"/>
          <w:lang w:val="en-GB"/>
        </w:rPr>
      </w:pPr>
    </w:p>
    <w:tbl>
      <w:tblPr>
        <w:tblW w:w="4867" w:type="pct"/>
        <w:tblLook w:val="0000" w:firstRow="0" w:lastRow="0" w:firstColumn="0" w:lastColumn="0" w:noHBand="0" w:noVBand="0"/>
      </w:tblPr>
      <w:tblGrid>
        <w:gridCol w:w="5179"/>
        <w:gridCol w:w="1062"/>
        <w:gridCol w:w="1296"/>
        <w:gridCol w:w="1574"/>
      </w:tblGrid>
      <w:tr w:rsidR="00911666" w:rsidRPr="00C66B91" w:rsidTr="00911666">
        <w:trPr>
          <w:trHeight w:val="284"/>
        </w:trPr>
        <w:tc>
          <w:tcPr>
            <w:tcW w:w="2842" w:type="pct"/>
            <w:tcBorders>
              <w:top w:val="nil"/>
              <w:left w:val="nil"/>
              <w:bottom w:val="nil"/>
              <w:right w:val="nil"/>
            </w:tcBorders>
            <w:shd w:val="clear" w:color="auto" w:fill="auto"/>
            <w:vAlign w:val="center"/>
          </w:tcPr>
          <w:p w:rsidR="00911666" w:rsidRPr="00C66B91" w:rsidRDefault="00911666" w:rsidP="00911666">
            <w:pPr>
              <w:rPr>
                <w:sz w:val="20"/>
                <w:szCs w:val="20"/>
                <w:lang w:val="en-GB"/>
              </w:rPr>
            </w:pPr>
          </w:p>
        </w:tc>
        <w:tc>
          <w:tcPr>
            <w:tcW w:w="583" w:type="pct"/>
            <w:vMerge w:val="restart"/>
            <w:tcBorders>
              <w:top w:val="nil"/>
              <w:left w:val="nil"/>
              <w:bottom w:val="nil"/>
              <w:right w:val="nil"/>
            </w:tcBorders>
            <w:shd w:val="clear" w:color="auto" w:fill="auto"/>
            <w:vAlign w:val="center"/>
          </w:tcPr>
          <w:p w:rsidR="00911666" w:rsidRPr="00C66B91" w:rsidRDefault="00D92459" w:rsidP="00911666">
            <w:pPr>
              <w:jc w:val="center"/>
              <w:rPr>
                <w:i/>
                <w:iCs/>
                <w:color w:val="000000"/>
                <w:sz w:val="22"/>
                <w:szCs w:val="22"/>
                <w:lang w:val="en-GB"/>
              </w:rPr>
            </w:pPr>
            <w:r w:rsidRPr="00C66B91">
              <w:rPr>
                <w:i/>
                <w:iCs/>
                <w:color w:val="000000"/>
                <w:sz w:val="22"/>
                <w:szCs w:val="22"/>
                <w:lang w:val="en-GB"/>
              </w:rPr>
              <w:t>Notes</w:t>
            </w:r>
          </w:p>
        </w:tc>
        <w:tc>
          <w:tcPr>
            <w:tcW w:w="711" w:type="pct"/>
            <w:tcBorders>
              <w:top w:val="nil"/>
              <w:left w:val="nil"/>
              <w:bottom w:val="single" w:sz="8" w:space="0" w:color="auto"/>
              <w:right w:val="nil"/>
            </w:tcBorders>
            <w:shd w:val="clear" w:color="auto" w:fill="auto"/>
            <w:vAlign w:val="center"/>
          </w:tcPr>
          <w:p w:rsidR="00911666" w:rsidRPr="00C66B91" w:rsidRDefault="008A588E" w:rsidP="00911666">
            <w:pPr>
              <w:jc w:val="center"/>
              <w:rPr>
                <w:b/>
                <w:bCs/>
                <w:color w:val="000000"/>
                <w:sz w:val="22"/>
                <w:szCs w:val="22"/>
                <w:lang w:val="en-GB"/>
              </w:rPr>
            </w:pPr>
            <w:r w:rsidRPr="00C66B91">
              <w:rPr>
                <w:b/>
                <w:bCs/>
                <w:color w:val="000000"/>
                <w:sz w:val="22"/>
                <w:szCs w:val="22"/>
                <w:lang w:val="en-GB"/>
              </w:rPr>
              <w:t>30.06</w:t>
            </w:r>
            <w:r w:rsidR="00911666" w:rsidRPr="00C66B91">
              <w:rPr>
                <w:b/>
                <w:bCs/>
                <w:color w:val="000000"/>
                <w:sz w:val="22"/>
                <w:szCs w:val="22"/>
                <w:lang w:val="en-GB"/>
              </w:rPr>
              <w:t>.2015</w:t>
            </w:r>
          </w:p>
        </w:tc>
        <w:tc>
          <w:tcPr>
            <w:tcW w:w="864" w:type="pct"/>
            <w:tcBorders>
              <w:top w:val="nil"/>
              <w:left w:val="nil"/>
              <w:bottom w:val="single" w:sz="8" w:space="0" w:color="auto"/>
              <w:right w:val="nil"/>
            </w:tcBorders>
            <w:shd w:val="clear" w:color="auto" w:fill="auto"/>
            <w:vAlign w:val="center"/>
          </w:tcPr>
          <w:p w:rsidR="00911666" w:rsidRPr="00C66B91" w:rsidRDefault="00911666" w:rsidP="00911666">
            <w:pPr>
              <w:jc w:val="center"/>
              <w:rPr>
                <w:b/>
                <w:bCs/>
                <w:color w:val="000000"/>
                <w:sz w:val="22"/>
                <w:szCs w:val="22"/>
                <w:lang w:val="en-GB"/>
              </w:rPr>
            </w:pPr>
            <w:r w:rsidRPr="00C66B91">
              <w:rPr>
                <w:b/>
                <w:bCs/>
                <w:color w:val="000000"/>
                <w:sz w:val="22"/>
                <w:szCs w:val="22"/>
                <w:lang w:val="en-GB"/>
              </w:rPr>
              <w:t>31.12.2014</w:t>
            </w:r>
          </w:p>
        </w:tc>
      </w:tr>
      <w:tr w:rsidR="00911666" w:rsidRPr="00C66B91" w:rsidTr="00911666">
        <w:trPr>
          <w:trHeight w:val="284"/>
        </w:trPr>
        <w:tc>
          <w:tcPr>
            <w:tcW w:w="2842" w:type="pct"/>
            <w:tcBorders>
              <w:top w:val="nil"/>
              <w:left w:val="nil"/>
              <w:bottom w:val="nil"/>
              <w:right w:val="nil"/>
            </w:tcBorders>
            <w:shd w:val="clear" w:color="auto" w:fill="auto"/>
            <w:vAlign w:val="center"/>
          </w:tcPr>
          <w:p w:rsidR="00911666" w:rsidRPr="00C66B91" w:rsidRDefault="00911666" w:rsidP="00911666">
            <w:pPr>
              <w:rPr>
                <w:b/>
                <w:lang w:val="en-GB"/>
              </w:rPr>
            </w:pPr>
          </w:p>
        </w:tc>
        <w:tc>
          <w:tcPr>
            <w:tcW w:w="583" w:type="pct"/>
            <w:vMerge/>
            <w:tcBorders>
              <w:top w:val="nil"/>
              <w:left w:val="nil"/>
              <w:bottom w:val="nil"/>
              <w:right w:val="nil"/>
            </w:tcBorders>
            <w:vAlign w:val="center"/>
          </w:tcPr>
          <w:p w:rsidR="00911666" w:rsidRPr="00C66B91" w:rsidRDefault="00911666" w:rsidP="00911666">
            <w:pPr>
              <w:jc w:val="center"/>
              <w:rPr>
                <w:i/>
                <w:lang w:val="en-GB"/>
              </w:rPr>
            </w:pPr>
          </w:p>
        </w:tc>
        <w:tc>
          <w:tcPr>
            <w:tcW w:w="711" w:type="pct"/>
            <w:tcBorders>
              <w:top w:val="nil"/>
              <w:left w:val="nil"/>
              <w:bottom w:val="nil"/>
              <w:right w:val="nil"/>
            </w:tcBorders>
            <w:shd w:val="clear" w:color="auto" w:fill="auto"/>
            <w:vAlign w:val="center"/>
          </w:tcPr>
          <w:p w:rsidR="00911666" w:rsidRPr="00C66B91" w:rsidRDefault="00911666" w:rsidP="00911666">
            <w:pPr>
              <w:jc w:val="center"/>
              <w:rPr>
                <w:b/>
                <w:lang w:val="en-GB"/>
              </w:rPr>
            </w:pPr>
            <w:r w:rsidRPr="00C66B91">
              <w:rPr>
                <w:b/>
                <w:bCs/>
                <w:color w:val="000000"/>
                <w:sz w:val="22"/>
                <w:szCs w:val="22"/>
                <w:lang w:val="en-GB"/>
              </w:rPr>
              <w:t>BGN’000</w:t>
            </w:r>
          </w:p>
        </w:tc>
        <w:tc>
          <w:tcPr>
            <w:tcW w:w="864" w:type="pct"/>
            <w:tcBorders>
              <w:top w:val="nil"/>
              <w:left w:val="nil"/>
              <w:bottom w:val="nil"/>
              <w:right w:val="nil"/>
            </w:tcBorders>
            <w:shd w:val="clear" w:color="auto" w:fill="auto"/>
            <w:vAlign w:val="center"/>
          </w:tcPr>
          <w:p w:rsidR="00911666" w:rsidRPr="00C66B91" w:rsidRDefault="00911666" w:rsidP="00911666">
            <w:pPr>
              <w:jc w:val="center"/>
              <w:rPr>
                <w:b/>
                <w:lang w:val="en-GB"/>
              </w:rPr>
            </w:pPr>
            <w:r w:rsidRPr="00C66B91">
              <w:rPr>
                <w:b/>
                <w:bCs/>
                <w:color w:val="000000"/>
                <w:sz w:val="22"/>
                <w:szCs w:val="22"/>
                <w:lang w:val="en-GB"/>
              </w:rPr>
              <w:t>BGN’000</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ASSETS</w:t>
            </w: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rPr>
                <w:b/>
                <w:bCs/>
                <w:color w:val="000000"/>
                <w:sz w:val="22"/>
                <w:szCs w:val="22"/>
                <w:lang w:val="en-GB"/>
              </w:rPr>
            </w:pPr>
          </w:p>
        </w:tc>
        <w:tc>
          <w:tcPr>
            <w:tcW w:w="711" w:type="pct"/>
            <w:tcBorders>
              <w:top w:val="nil"/>
              <w:left w:val="nil"/>
              <w:bottom w:val="nil"/>
              <w:right w:val="nil"/>
            </w:tcBorders>
            <w:shd w:val="clear" w:color="auto" w:fill="auto"/>
            <w:tcMar>
              <w:right w:w="255" w:type="dxa"/>
            </w:tcMar>
            <w:vAlign w:val="center"/>
          </w:tcPr>
          <w:p w:rsidR="00D92459" w:rsidRPr="00C66B91" w:rsidRDefault="00D92459" w:rsidP="00D92459">
            <w:pPr>
              <w:jc w:val="center"/>
              <w:rPr>
                <w:sz w:val="20"/>
                <w:szCs w:val="20"/>
                <w:lang w:val="en-GB"/>
              </w:rPr>
            </w:pPr>
          </w:p>
        </w:tc>
        <w:tc>
          <w:tcPr>
            <w:tcW w:w="86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sz w:val="20"/>
                <w:szCs w:val="20"/>
                <w:lang w:val="en-GB"/>
              </w:rPr>
            </w:pP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jc w:val="right"/>
              <w:rPr>
                <w:sz w:val="20"/>
                <w:szCs w:val="20"/>
                <w:lang w:val="en-GB"/>
              </w:rPr>
            </w:pP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rPr>
                <w:sz w:val="20"/>
                <w:szCs w:val="20"/>
                <w:lang w:val="en-GB"/>
              </w:rPr>
            </w:pPr>
          </w:p>
        </w:tc>
        <w:tc>
          <w:tcPr>
            <w:tcW w:w="711" w:type="pct"/>
            <w:tcBorders>
              <w:top w:val="nil"/>
              <w:left w:val="nil"/>
              <w:bottom w:val="nil"/>
              <w:right w:val="nil"/>
            </w:tcBorders>
            <w:shd w:val="clear" w:color="auto" w:fill="auto"/>
            <w:tcMar>
              <w:right w:w="255" w:type="dxa"/>
            </w:tcMar>
            <w:vAlign w:val="center"/>
          </w:tcPr>
          <w:p w:rsidR="00D92459" w:rsidRPr="00C66B91" w:rsidRDefault="00D92459" w:rsidP="00D92459">
            <w:pPr>
              <w:jc w:val="center"/>
              <w:rPr>
                <w:sz w:val="20"/>
                <w:szCs w:val="20"/>
                <w:lang w:val="en-GB"/>
              </w:rPr>
            </w:pPr>
          </w:p>
        </w:tc>
        <w:tc>
          <w:tcPr>
            <w:tcW w:w="86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sz w:val="20"/>
                <w:szCs w:val="20"/>
                <w:lang w:val="en-GB"/>
              </w:rPr>
            </w:pP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Non-current assets</w:t>
            </w: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rPr>
                <w:b/>
                <w:bCs/>
                <w:color w:val="000000"/>
                <w:sz w:val="22"/>
                <w:szCs w:val="22"/>
                <w:lang w:val="en-GB"/>
              </w:rPr>
            </w:pPr>
          </w:p>
        </w:tc>
        <w:tc>
          <w:tcPr>
            <w:tcW w:w="711" w:type="pct"/>
            <w:tcBorders>
              <w:top w:val="nil"/>
              <w:left w:val="nil"/>
              <w:bottom w:val="nil"/>
              <w:right w:val="nil"/>
            </w:tcBorders>
            <w:shd w:val="clear" w:color="auto" w:fill="auto"/>
            <w:tcMar>
              <w:right w:w="255" w:type="dxa"/>
            </w:tcMar>
            <w:vAlign w:val="center"/>
          </w:tcPr>
          <w:p w:rsidR="00D92459" w:rsidRPr="00C66B91" w:rsidRDefault="00D92459" w:rsidP="00D92459">
            <w:pPr>
              <w:jc w:val="center"/>
              <w:rPr>
                <w:sz w:val="20"/>
                <w:szCs w:val="20"/>
                <w:lang w:val="en-GB"/>
              </w:rPr>
            </w:pPr>
          </w:p>
        </w:tc>
        <w:tc>
          <w:tcPr>
            <w:tcW w:w="86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sz w:val="20"/>
                <w:szCs w:val="20"/>
                <w:lang w:val="en-GB"/>
              </w:rPr>
            </w:pP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bookmarkStart w:id="0" w:name="_Hlk162708063"/>
            <w:r w:rsidRPr="00C66B91">
              <w:rPr>
                <w:color w:val="000000"/>
                <w:sz w:val="22"/>
                <w:szCs w:val="22"/>
                <w:lang w:val="en-GB"/>
              </w:rPr>
              <w:t>Property, plant and equipment</w:t>
            </w: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3</w:t>
            </w:r>
          </w:p>
        </w:tc>
        <w:tc>
          <w:tcPr>
            <w:tcW w:w="711"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21,277</w:t>
            </w:r>
          </w:p>
        </w:tc>
        <w:tc>
          <w:tcPr>
            <w:tcW w:w="864"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23,650</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r w:rsidRPr="00C66B91">
              <w:rPr>
                <w:color w:val="000000"/>
                <w:sz w:val="22"/>
                <w:szCs w:val="22"/>
                <w:lang w:val="en-GB"/>
              </w:rPr>
              <w:t>Intangible assets</w:t>
            </w: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4</w:t>
            </w:r>
          </w:p>
        </w:tc>
        <w:tc>
          <w:tcPr>
            <w:tcW w:w="711"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12,245</w:t>
            </w:r>
          </w:p>
        </w:tc>
        <w:tc>
          <w:tcPr>
            <w:tcW w:w="864"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10,220</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r w:rsidRPr="00C66B91">
              <w:rPr>
                <w:color w:val="000000"/>
                <w:sz w:val="22"/>
                <w:szCs w:val="22"/>
                <w:lang w:val="en-GB"/>
              </w:rPr>
              <w:t>Goodwill</w:t>
            </w: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4</w:t>
            </w:r>
          </w:p>
        </w:tc>
        <w:tc>
          <w:tcPr>
            <w:tcW w:w="711"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10,360</w:t>
            </w:r>
          </w:p>
        </w:tc>
        <w:tc>
          <w:tcPr>
            <w:tcW w:w="864"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10,360</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r w:rsidRPr="00C66B91">
              <w:rPr>
                <w:color w:val="000000"/>
                <w:sz w:val="22"/>
                <w:szCs w:val="22"/>
                <w:lang w:val="en-GB"/>
              </w:rPr>
              <w:t>Deferred tax assets</w:t>
            </w: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21</w:t>
            </w:r>
          </w:p>
        </w:tc>
        <w:tc>
          <w:tcPr>
            <w:tcW w:w="711"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225</w:t>
            </w:r>
          </w:p>
        </w:tc>
        <w:tc>
          <w:tcPr>
            <w:tcW w:w="864"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225</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Total non-current assets</w:t>
            </w:r>
          </w:p>
        </w:tc>
        <w:tc>
          <w:tcPr>
            <w:tcW w:w="583" w:type="pct"/>
            <w:tcBorders>
              <w:top w:val="nil"/>
              <w:left w:val="nil"/>
              <w:bottom w:val="nil"/>
              <w:right w:val="nil"/>
            </w:tcBorders>
            <w:shd w:val="clear" w:color="auto" w:fill="auto"/>
            <w:vAlign w:val="center"/>
          </w:tcPr>
          <w:p w:rsidR="00D92459" w:rsidRPr="00C66B91" w:rsidRDefault="00D92459" w:rsidP="00D92459">
            <w:pPr>
              <w:jc w:val="right"/>
              <w:rPr>
                <w:b/>
                <w:bCs/>
                <w:color w:val="000000"/>
                <w:sz w:val="22"/>
                <w:szCs w:val="22"/>
                <w:lang w:val="en-GB"/>
              </w:rPr>
            </w:pPr>
          </w:p>
        </w:tc>
        <w:tc>
          <w:tcPr>
            <w:tcW w:w="711" w:type="pct"/>
            <w:tcBorders>
              <w:top w:val="single" w:sz="8" w:space="0" w:color="auto"/>
              <w:left w:val="nil"/>
              <w:bottom w:val="nil"/>
              <w:right w:val="nil"/>
            </w:tcBorders>
            <w:shd w:val="clear" w:color="auto" w:fill="auto"/>
            <w:tcMar>
              <w:right w:w="198" w:type="dxa"/>
            </w:tcMar>
            <w:vAlign w:val="center"/>
          </w:tcPr>
          <w:p w:rsidR="00D92459" w:rsidRPr="00C66B91" w:rsidRDefault="00D92459" w:rsidP="00D92459">
            <w:pPr>
              <w:jc w:val="right"/>
              <w:rPr>
                <w:b/>
                <w:bCs/>
                <w:color w:val="241E1C"/>
                <w:sz w:val="22"/>
                <w:szCs w:val="22"/>
                <w:lang w:val="en-GB"/>
              </w:rPr>
            </w:pPr>
            <w:r w:rsidRPr="00C66B91">
              <w:rPr>
                <w:b/>
                <w:bCs/>
                <w:color w:val="241E1C"/>
                <w:sz w:val="22"/>
                <w:szCs w:val="22"/>
                <w:lang w:val="en-GB"/>
              </w:rPr>
              <w:t>44,107</w:t>
            </w:r>
          </w:p>
        </w:tc>
        <w:tc>
          <w:tcPr>
            <w:tcW w:w="864" w:type="pct"/>
            <w:tcBorders>
              <w:top w:val="single" w:sz="8" w:space="0" w:color="auto"/>
              <w:left w:val="nil"/>
              <w:bottom w:val="nil"/>
              <w:right w:val="nil"/>
            </w:tcBorders>
            <w:shd w:val="clear" w:color="auto" w:fill="auto"/>
            <w:tcMar>
              <w:right w:w="198" w:type="dxa"/>
            </w:tcMar>
            <w:vAlign w:val="center"/>
          </w:tcPr>
          <w:p w:rsidR="00D92459" w:rsidRPr="00C66B91" w:rsidRDefault="00D92459" w:rsidP="00D92459">
            <w:pPr>
              <w:jc w:val="right"/>
              <w:rPr>
                <w:b/>
                <w:bCs/>
                <w:color w:val="241E1C"/>
                <w:sz w:val="22"/>
                <w:szCs w:val="22"/>
                <w:lang w:val="en-GB"/>
              </w:rPr>
            </w:pPr>
            <w:r w:rsidRPr="00C66B91">
              <w:rPr>
                <w:b/>
                <w:bCs/>
                <w:color w:val="241E1C"/>
                <w:sz w:val="22"/>
                <w:szCs w:val="22"/>
                <w:lang w:val="en-GB"/>
              </w:rPr>
              <w:t>44,455</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jc w:val="right"/>
              <w:rPr>
                <w:b/>
                <w:bCs/>
                <w:color w:val="241E1C"/>
                <w:sz w:val="22"/>
                <w:szCs w:val="22"/>
                <w:lang w:val="en-GB"/>
              </w:rPr>
            </w:pP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jc w:val="right"/>
              <w:rPr>
                <w:sz w:val="20"/>
                <w:szCs w:val="20"/>
                <w:lang w:val="en-GB"/>
              </w:rPr>
            </w:pPr>
          </w:p>
        </w:tc>
        <w:tc>
          <w:tcPr>
            <w:tcW w:w="711" w:type="pct"/>
            <w:tcBorders>
              <w:top w:val="single" w:sz="8" w:space="0" w:color="auto"/>
              <w:left w:val="nil"/>
              <w:bottom w:val="nil"/>
              <w:right w:val="nil"/>
            </w:tcBorders>
            <w:shd w:val="clear" w:color="auto" w:fill="auto"/>
            <w:tcMar>
              <w:right w:w="198"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 </w:t>
            </w:r>
          </w:p>
        </w:tc>
        <w:tc>
          <w:tcPr>
            <w:tcW w:w="864" w:type="pct"/>
            <w:tcBorders>
              <w:top w:val="single" w:sz="8" w:space="0" w:color="auto"/>
              <w:left w:val="nil"/>
              <w:bottom w:val="nil"/>
              <w:right w:val="nil"/>
            </w:tcBorders>
            <w:shd w:val="clear" w:color="auto" w:fill="auto"/>
            <w:tcMar>
              <w:right w:w="198"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 </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Current assets</w:t>
            </w: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jc w:val="right"/>
              <w:rPr>
                <w:b/>
                <w:bCs/>
                <w:color w:val="000000"/>
                <w:sz w:val="22"/>
                <w:szCs w:val="22"/>
                <w:lang w:val="en-GB"/>
              </w:rPr>
            </w:pPr>
          </w:p>
        </w:tc>
        <w:tc>
          <w:tcPr>
            <w:tcW w:w="711" w:type="pct"/>
            <w:tcBorders>
              <w:top w:val="nil"/>
              <w:left w:val="nil"/>
              <w:bottom w:val="nil"/>
              <w:right w:val="nil"/>
            </w:tcBorders>
            <w:shd w:val="clear" w:color="auto" w:fill="auto"/>
            <w:tcMar>
              <w:right w:w="198" w:type="dxa"/>
            </w:tcMar>
            <w:vAlign w:val="center"/>
          </w:tcPr>
          <w:p w:rsidR="00D92459" w:rsidRPr="00C66B91" w:rsidRDefault="00D92459" w:rsidP="00D92459">
            <w:pPr>
              <w:jc w:val="center"/>
              <w:rPr>
                <w:sz w:val="20"/>
                <w:szCs w:val="20"/>
                <w:lang w:val="en-GB"/>
              </w:rPr>
            </w:pPr>
          </w:p>
        </w:tc>
        <w:tc>
          <w:tcPr>
            <w:tcW w:w="864"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sz w:val="20"/>
                <w:szCs w:val="20"/>
                <w:lang w:val="en-GB"/>
              </w:rPr>
            </w:pP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r w:rsidRPr="00C66B91">
              <w:rPr>
                <w:color w:val="000000"/>
                <w:sz w:val="22"/>
                <w:szCs w:val="22"/>
                <w:lang w:val="en-GB"/>
              </w:rPr>
              <w:t>Inventories</w:t>
            </w: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6</w:t>
            </w:r>
          </w:p>
        </w:tc>
        <w:tc>
          <w:tcPr>
            <w:tcW w:w="711"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1,196</w:t>
            </w:r>
          </w:p>
        </w:tc>
        <w:tc>
          <w:tcPr>
            <w:tcW w:w="864"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530</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r w:rsidRPr="00C66B91">
              <w:rPr>
                <w:color w:val="000000"/>
                <w:sz w:val="22"/>
                <w:szCs w:val="22"/>
                <w:lang w:val="en-GB"/>
              </w:rPr>
              <w:t xml:space="preserve">Trade and other receivables </w:t>
            </w: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7</w:t>
            </w:r>
          </w:p>
        </w:tc>
        <w:tc>
          <w:tcPr>
            <w:tcW w:w="711"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24,199</w:t>
            </w:r>
          </w:p>
        </w:tc>
        <w:tc>
          <w:tcPr>
            <w:tcW w:w="864"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22,758</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r w:rsidRPr="00C66B91">
              <w:rPr>
                <w:color w:val="000000"/>
                <w:sz w:val="22"/>
                <w:szCs w:val="22"/>
                <w:lang w:val="en-GB"/>
              </w:rPr>
              <w:t>Cash and cash equivalents</w:t>
            </w:r>
          </w:p>
        </w:tc>
        <w:tc>
          <w:tcPr>
            <w:tcW w:w="583" w:type="pct"/>
            <w:tcBorders>
              <w:top w:val="nil"/>
              <w:left w:val="nil"/>
              <w:bottom w:val="nil"/>
              <w:right w:val="nil"/>
            </w:tcBorders>
            <w:shd w:val="clear" w:color="auto" w:fill="auto"/>
            <w:vAlign w:val="center"/>
          </w:tcPr>
          <w:p w:rsidR="00D92459" w:rsidRPr="00C66B91" w:rsidRDefault="00D92459" w:rsidP="00D92459">
            <w:pPr>
              <w:jc w:val="center"/>
              <w:rPr>
                <w:color w:val="000000"/>
                <w:sz w:val="22"/>
                <w:szCs w:val="22"/>
                <w:lang w:val="en-GB"/>
              </w:rPr>
            </w:pPr>
            <w:r w:rsidRPr="00C66B91">
              <w:rPr>
                <w:color w:val="000000"/>
                <w:sz w:val="22"/>
                <w:szCs w:val="22"/>
                <w:lang w:val="en-GB"/>
              </w:rPr>
              <w:t>8</w:t>
            </w:r>
          </w:p>
        </w:tc>
        <w:tc>
          <w:tcPr>
            <w:tcW w:w="711"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8,475</w:t>
            </w:r>
          </w:p>
        </w:tc>
        <w:tc>
          <w:tcPr>
            <w:tcW w:w="864"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11,046</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r w:rsidRPr="00C66B91">
              <w:rPr>
                <w:color w:val="000000"/>
                <w:sz w:val="22"/>
                <w:szCs w:val="22"/>
                <w:lang w:val="en-GB"/>
              </w:rPr>
              <w:t>Other current assets</w:t>
            </w: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rPr>
                <w:color w:val="000000"/>
                <w:sz w:val="22"/>
                <w:szCs w:val="22"/>
                <w:lang w:val="en-GB"/>
              </w:rPr>
            </w:pPr>
          </w:p>
        </w:tc>
        <w:tc>
          <w:tcPr>
            <w:tcW w:w="711"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492</w:t>
            </w:r>
          </w:p>
        </w:tc>
        <w:tc>
          <w:tcPr>
            <w:tcW w:w="864" w:type="pct"/>
            <w:tcBorders>
              <w:top w:val="nil"/>
              <w:left w:val="nil"/>
              <w:bottom w:val="nil"/>
              <w:right w:val="nil"/>
            </w:tcBorders>
            <w:shd w:val="clear" w:color="auto" w:fill="auto"/>
            <w:tcMar>
              <w:right w:w="198"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486</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Total current assets</w:t>
            </w:r>
          </w:p>
        </w:tc>
        <w:tc>
          <w:tcPr>
            <w:tcW w:w="583"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p>
        </w:tc>
        <w:tc>
          <w:tcPr>
            <w:tcW w:w="711" w:type="pct"/>
            <w:tcBorders>
              <w:top w:val="single" w:sz="8" w:space="0" w:color="auto"/>
              <w:left w:val="nil"/>
              <w:bottom w:val="single" w:sz="8" w:space="0" w:color="auto"/>
              <w:right w:val="nil"/>
            </w:tcBorders>
            <w:shd w:val="clear" w:color="auto" w:fill="auto"/>
            <w:tcMar>
              <w:right w:w="198" w:type="dxa"/>
            </w:tcMar>
            <w:vAlign w:val="center"/>
          </w:tcPr>
          <w:p w:rsidR="00D92459" w:rsidRPr="00C66B91" w:rsidRDefault="00D92459" w:rsidP="00D92459">
            <w:pPr>
              <w:jc w:val="right"/>
              <w:rPr>
                <w:b/>
                <w:bCs/>
                <w:color w:val="241E1C"/>
                <w:sz w:val="22"/>
                <w:szCs w:val="22"/>
                <w:lang w:val="en-GB"/>
              </w:rPr>
            </w:pPr>
            <w:r w:rsidRPr="00C66B91">
              <w:rPr>
                <w:b/>
                <w:bCs/>
                <w:color w:val="241E1C"/>
                <w:sz w:val="22"/>
                <w:szCs w:val="22"/>
                <w:lang w:val="en-GB"/>
              </w:rPr>
              <w:t>34,362</w:t>
            </w:r>
          </w:p>
        </w:tc>
        <w:tc>
          <w:tcPr>
            <w:tcW w:w="864" w:type="pct"/>
            <w:tcBorders>
              <w:top w:val="single" w:sz="8" w:space="0" w:color="auto"/>
              <w:left w:val="nil"/>
              <w:bottom w:val="single" w:sz="8" w:space="0" w:color="auto"/>
              <w:right w:val="nil"/>
            </w:tcBorders>
            <w:shd w:val="clear" w:color="auto" w:fill="auto"/>
            <w:tcMar>
              <w:right w:w="198" w:type="dxa"/>
            </w:tcMar>
            <w:vAlign w:val="center"/>
          </w:tcPr>
          <w:p w:rsidR="00D92459" w:rsidRPr="00C66B91" w:rsidRDefault="00D92459" w:rsidP="00D92459">
            <w:pPr>
              <w:jc w:val="right"/>
              <w:rPr>
                <w:b/>
                <w:bCs/>
                <w:color w:val="241E1C"/>
                <w:sz w:val="22"/>
                <w:szCs w:val="22"/>
                <w:lang w:val="en-GB"/>
              </w:rPr>
            </w:pPr>
            <w:r w:rsidRPr="00C66B91">
              <w:rPr>
                <w:b/>
                <w:bCs/>
                <w:color w:val="241E1C"/>
                <w:sz w:val="22"/>
                <w:szCs w:val="22"/>
                <w:lang w:val="en-GB"/>
              </w:rPr>
              <w:t>34,820</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jc w:val="right"/>
              <w:rPr>
                <w:b/>
                <w:bCs/>
                <w:color w:val="241E1C"/>
                <w:sz w:val="22"/>
                <w:szCs w:val="22"/>
                <w:lang w:val="en-GB"/>
              </w:rPr>
            </w:pP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rPr>
                <w:sz w:val="20"/>
                <w:szCs w:val="20"/>
                <w:lang w:val="en-GB"/>
              </w:rPr>
            </w:pPr>
          </w:p>
        </w:tc>
        <w:tc>
          <w:tcPr>
            <w:tcW w:w="711" w:type="pct"/>
            <w:tcBorders>
              <w:top w:val="nil"/>
              <w:left w:val="nil"/>
              <w:bottom w:val="single" w:sz="8" w:space="0" w:color="auto"/>
              <w:right w:val="nil"/>
            </w:tcBorders>
            <w:shd w:val="clear" w:color="auto" w:fill="auto"/>
            <w:tcMar>
              <w:right w:w="198" w:type="dxa"/>
            </w:tcMar>
            <w:vAlign w:val="center"/>
          </w:tcPr>
          <w:p w:rsidR="00D92459" w:rsidRPr="00C66B91" w:rsidRDefault="00D92459" w:rsidP="00D92459">
            <w:pPr>
              <w:jc w:val="right"/>
              <w:rPr>
                <w:b/>
                <w:bCs/>
                <w:color w:val="000000"/>
                <w:sz w:val="22"/>
                <w:szCs w:val="22"/>
                <w:lang w:val="en-GB"/>
              </w:rPr>
            </w:pPr>
            <w:r w:rsidRPr="00C66B91">
              <w:rPr>
                <w:b/>
                <w:bCs/>
                <w:color w:val="000000"/>
                <w:sz w:val="22"/>
                <w:szCs w:val="22"/>
                <w:lang w:val="en-GB"/>
              </w:rPr>
              <w:t> </w:t>
            </w:r>
          </w:p>
        </w:tc>
        <w:tc>
          <w:tcPr>
            <w:tcW w:w="864" w:type="pct"/>
            <w:tcBorders>
              <w:top w:val="nil"/>
              <w:left w:val="nil"/>
              <w:bottom w:val="single" w:sz="8" w:space="0" w:color="auto"/>
              <w:right w:val="nil"/>
            </w:tcBorders>
            <w:shd w:val="clear" w:color="auto" w:fill="auto"/>
            <w:tcMar>
              <w:right w:w="198" w:type="dxa"/>
            </w:tcMar>
            <w:vAlign w:val="center"/>
          </w:tcPr>
          <w:p w:rsidR="00D92459" w:rsidRPr="00C66B91" w:rsidRDefault="00D92459" w:rsidP="00D92459">
            <w:pPr>
              <w:jc w:val="right"/>
              <w:rPr>
                <w:b/>
                <w:bCs/>
                <w:color w:val="000000"/>
                <w:sz w:val="22"/>
                <w:szCs w:val="22"/>
                <w:lang w:val="en-GB"/>
              </w:rPr>
            </w:pPr>
            <w:r w:rsidRPr="00C66B91">
              <w:rPr>
                <w:b/>
                <w:bCs/>
                <w:color w:val="000000"/>
                <w:sz w:val="22"/>
                <w:szCs w:val="22"/>
                <w:lang w:val="en-GB"/>
              </w:rPr>
              <w:t> </w:t>
            </w:r>
          </w:p>
        </w:tc>
      </w:tr>
      <w:tr w:rsidR="00D92459" w:rsidRPr="00C66B91" w:rsidTr="00911666">
        <w:trPr>
          <w:trHeight w:val="284"/>
        </w:trPr>
        <w:tc>
          <w:tcPr>
            <w:tcW w:w="2842"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TOTAL assets</w:t>
            </w:r>
          </w:p>
        </w:tc>
        <w:tc>
          <w:tcPr>
            <w:tcW w:w="583" w:type="pct"/>
            <w:tcBorders>
              <w:top w:val="nil"/>
              <w:left w:val="nil"/>
              <w:bottom w:val="nil"/>
              <w:right w:val="nil"/>
            </w:tcBorders>
            <w:shd w:val="clear" w:color="auto" w:fill="auto"/>
            <w:tcMar>
              <w:right w:w="454" w:type="dxa"/>
            </w:tcMar>
            <w:vAlign w:val="center"/>
          </w:tcPr>
          <w:p w:rsidR="00D92459" w:rsidRPr="00C66B91" w:rsidRDefault="00D92459" w:rsidP="00D92459">
            <w:pPr>
              <w:rPr>
                <w:b/>
                <w:bCs/>
                <w:color w:val="000000"/>
                <w:sz w:val="22"/>
                <w:szCs w:val="22"/>
                <w:lang w:val="en-GB"/>
              </w:rPr>
            </w:pPr>
          </w:p>
        </w:tc>
        <w:tc>
          <w:tcPr>
            <w:tcW w:w="711" w:type="pct"/>
            <w:tcBorders>
              <w:top w:val="nil"/>
              <w:left w:val="nil"/>
              <w:bottom w:val="double" w:sz="6" w:space="0" w:color="auto"/>
              <w:right w:val="nil"/>
            </w:tcBorders>
            <w:shd w:val="clear" w:color="auto" w:fill="auto"/>
            <w:tcMar>
              <w:right w:w="198" w:type="dxa"/>
            </w:tcMar>
            <w:vAlign w:val="center"/>
          </w:tcPr>
          <w:p w:rsidR="00D92459" w:rsidRPr="00C66B91" w:rsidRDefault="00D92459" w:rsidP="00D92459">
            <w:pPr>
              <w:jc w:val="right"/>
              <w:rPr>
                <w:b/>
                <w:bCs/>
                <w:color w:val="241E1C"/>
                <w:sz w:val="22"/>
                <w:szCs w:val="22"/>
                <w:lang w:val="en-GB"/>
              </w:rPr>
            </w:pPr>
            <w:r w:rsidRPr="00C66B91">
              <w:rPr>
                <w:b/>
                <w:bCs/>
                <w:color w:val="241E1C"/>
                <w:sz w:val="22"/>
                <w:szCs w:val="22"/>
                <w:lang w:val="en-GB"/>
              </w:rPr>
              <w:t>78,469</w:t>
            </w:r>
          </w:p>
        </w:tc>
        <w:tc>
          <w:tcPr>
            <w:tcW w:w="864" w:type="pct"/>
            <w:tcBorders>
              <w:top w:val="nil"/>
              <w:left w:val="nil"/>
              <w:bottom w:val="double" w:sz="6" w:space="0" w:color="auto"/>
              <w:right w:val="nil"/>
            </w:tcBorders>
            <w:shd w:val="clear" w:color="auto" w:fill="auto"/>
            <w:tcMar>
              <w:right w:w="198" w:type="dxa"/>
            </w:tcMar>
            <w:vAlign w:val="center"/>
          </w:tcPr>
          <w:p w:rsidR="00D92459" w:rsidRPr="00C66B91" w:rsidRDefault="00D92459" w:rsidP="00D92459">
            <w:pPr>
              <w:jc w:val="right"/>
              <w:rPr>
                <w:b/>
                <w:bCs/>
                <w:color w:val="241E1C"/>
                <w:sz w:val="22"/>
                <w:szCs w:val="22"/>
                <w:lang w:val="en-GB"/>
              </w:rPr>
            </w:pPr>
            <w:r w:rsidRPr="00C66B91">
              <w:rPr>
                <w:b/>
                <w:bCs/>
                <w:color w:val="241E1C"/>
                <w:sz w:val="22"/>
                <w:szCs w:val="22"/>
                <w:lang w:val="en-GB"/>
              </w:rPr>
              <w:t>79,275</w:t>
            </w:r>
          </w:p>
        </w:tc>
      </w:tr>
      <w:bookmarkEnd w:id="0"/>
    </w:tbl>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8"/>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tabs>
          <w:tab w:val="left" w:pos="6237"/>
          <w:tab w:val="right" w:pos="7937"/>
          <w:tab w:val="right" w:pos="9354"/>
        </w:tabs>
        <w:jc w:val="both"/>
        <w:rPr>
          <w:b/>
          <w:spacing w:val="-3"/>
          <w:sz w:val="22"/>
          <w:szCs w:val="22"/>
          <w:lang w:val="en-GB"/>
        </w:rPr>
      </w:pPr>
    </w:p>
    <w:p w:rsidR="00E922D1" w:rsidRPr="00C66B91" w:rsidRDefault="00E922D1" w:rsidP="00E922D1">
      <w:pPr>
        <w:tabs>
          <w:tab w:val="left" w:pos="6237"/>
          <w:tab w:val="right" w:pos="7937"/>
          <w:tab w:val="right" w:pos="9354"/>
        </w:tabs>
        <w:jc w:val="both"/>
        <w:rPr>
          <w:b/>
          <w:spacing w:val="-3"/>
          <w:sz w:val="22"/>
          <w:szCs w:val="22"/>
          <w:lang w:val="en-GB"/>
        </w:rPr>
      </w:pPr>
    </w:p>
    <w:p w:rsidR="00E922D1" w:rsidRPr="00C66B91" w:rsidRDefault="00E922D1" w:rsidP="00E922D1">
      <w:pPr>
        <w:tabs>
          <w:tab w:val="left" w:pos="6237"/>
          <w:tab w:val="right" w:pos="7937"/>
          <w:tab w:val="right" w:pos="9354"/>
        </w:tabs>
        <w:jc w:val="both"/>
        <w:rPr>
          <w:b/>
          <w:spacing w:val="-3"/>
          <w:sz w:val="22"/>
          <w:szCs w:val="22"/>
          <w:lang w:val="en-GB"/>
        </w:rPr>
      </w:pPr>
    </w:p>
    <w:p w:rsidR="00E922D1" w:rsidRPr="00C66B91" w:rsidRDefault="00E922D1" w:rsidP="00E922D1">
      <w:pPr>
        <w:tabs>
          <w:tab w:val="left" w:pos="6237"/>
          <w:tab w:val="right" w:pos="7937"/>
          <w:tab w:val="right" w:pos="9354"/>
        </w:tabs>
        <w:jc w:val="both"/>
        <w:rPr>
          <w:spacing w:val="-3"/>
          <w:sz w:val="22"/>
          <w:szCs w:val="22"/>
          <w:lang w:val="en-GB"/>
        </w:rPr>
      </w:pPr>
    </w:p>
    <w:p w:rsidR="00E922D1" w:rsidRPr="00C66B91" w:rsidRDefault="00E922D1" w:rsidP="00E922D1">
      <w:pPr>
        <w:pStyle w:val="TableofFiguresTotal"/>
        <w:tabs>
          <w:tab w:val="center" w:pos="4678"/>
        </w:tabs>
        <w:rPr>
          <w:b w:val="0"/>
          <w:smallCaps/>
          <w:spacing w:val="-4"/>
          <w:sz w:val="22"/>
          <w:szCs w:val="22"/>
        </w:rPr>
      </w:pPr>
    </w:p>
    <w:p w:rsidR="00E922D1" w:rsidRPr="00C66B91" w:rsidRDefault="00E922D1" w:rsidP="00E922D1">
      <w:pPr>
        <w:rPr>
          <w:sz w:val="22"/>
          <w:szCs w:val="22"/>
          <w:lang w:val="en-GB"/>
        </w:rPr>
      </w:pPr>
    </w:p>
    <w:p w:rsidR="00E922D1" w:rsidRPr="00C66B91" w:rsidRDefault="00E922D1" w:rsidP="00E922D1">
      <w:pPr>
        <w:rPr>
          <w:sz w:val="22"/>
          <w:szCs w:val="22"/>
          <w:lang w:val="en-GB"/>
        </w:rPr>
      </w:pPr>
    </w:p>
    <w:p w:rsidR="00E922D1" w:rsidRPr="00C66B91" w:rsidRDefault="00E922D1" w:rsidP="00E922D1">
      <w:pPr>
        <w:rPr>
          <w:sz w:val="22"/>
          <w:szCs w:val="22"/>
          <w:lang w:val="en-GB"/>
        </w:rPr>
      </w:pPr>
    </w:p>
    <w:p w:rsidR="00E922D1" w:rsidRPr="00C66B91" w:rsidRDefault="00E922D1" w:rsidP="00E922D1">
      <w:pPr>
        <w:rPr>
          <w:sz w:val="22"/>
          <w:szCs w:val="22"/>
          <w:lang w:val="en-GB"/>
        </w:rPr>
      </w:pPr>
    </w:p>
    <w:p w:rsidR="00E922D1" w:rsidRPr="00C66B91" w:rsidRDefault="00E922D1" w:rsidP="00E922D1">
      <w:pPr>
        <w:rPr>
          <w:sz w:val="22"/>
          <w:szCs w:val="22"/>
          <w:lang w:val="en-GB"/>
        </w:rPr>
      </w:pPr>
    </w:p>
    <w:p w:rsidR="00E922D1" w:rsidRPr="00C66B91" w:rsidRDefault="00E922D1" w:rsidP="00E922D1">
      <w:pPr>
        <w:rPr>
          <w:sz w:val="22"/>
          <w:szCs w:val="22"/>
          <w:lang w:val="en-GB"/>
        </w:rPr>
        <w:sectPr w:rsidR="00E922D1" w:rsidRPr="00C66B91" w:rsidSect="00C46C22">
          <w:headerReference w:type="default" r:id="rId9"/>
          <w:type w:val="continuous"/>
          <w:pgSz w:w="11907" w:h="16840" w:code="9"/>
          <w:pgMar w:top="1411" w:right="1287" w:bottom="1080" w:left="1260" w:header="708" w:footer="708" w:gutter="0"/>
          <w:cols w:space="708"/>
          <w:noEndnote/>
          <w:titlePg/>
        </w:sectPr>
      </w:pPr>
    </w:p>
    <w:p w:rsidR="00E922D1" w:rsidRPr="00C66B91" w:rsidRDefault="00E922D1" w:rsidP="00E922D1">
      <w:pPr>
        <w:rPr>
          <w:sz w:val="22"/>
          <w:szCs w:val="22"/>
          <w:lang w:val="en-GB"/>
        </w:rPr>
      </w:pPr>
    </w:p>
    <w:p w:rsidR="00E922D1" w:rsidRPr="00C66B91" w:rsidRDefault="00E922D1" w:rsidP="00E922D1">
      <w:pPr>
        <w:rPr>
          <w:sz w:val="22"/>
          <w:szCs w:val="22"/>
          <w:lang w:val="en-GB"/>
        </w:rPr>
      </w:pPr>
    </w:p>
    <w:p w:rsidR="00E922D1" w:rsidRPr="00C66B91" w:rsidRDefault="00E922D1" w:rsidP="00E922D1">
      <w:pPr>
        <w:rPr>
          <w:sz w:val="22"/>
          <w:szCs w:val="22"/>
          <w:lang w:val="en-GB"/>
        </w:rPr>
      </w:pPr>
    </w:p>
    <w:p w:rsidR="00E922D1" w:rsidRPr="00C66B91" w:rsidRDefault="00E922D1" w:rsidP="00E922D1">
      <w:pPr>
        <w:rPr>
          <w:sz w:val="22"/>
          <w:szCs w:val="22"/>
          <w:lang w:val="en-GB"/>
        </w:rPr>
      </w:pPr>
    </w:p>
    <w:p w:rsidR="00D92459" w:rsidRPr="00C66B91" w:rsidRDefault="00D92459" w:rsidP="00D92459">
      <w:pPr>
        <w:rPr>
          <w:i/>
          <w:sz w:val="22"/>
          <w:szCs w:val="22"/>
          <w:lang w:val="en-GB"/>
        </w:rPr>
      </w:pPr>
      <w:r w:rsidRPr="00C66B91">
        <w:rPr>
          <w:i/>
          <w:sz w:val="22"/>
          <w:szCs w:val="22"/>
          <w:lang w:val="en-GB"/>
        </w:rPr>
        <w:t>Continued</w:t>
      </w:r>
    </w:p>
    <w:tbl>
      <w:tblPr>
        <w:tblW w:w="5000" w:type="pct"/>
        <w:tblLook w:val="0000" w:firstRow="0" w:lastRow="0" w:firstColumn="0" w:lastColumn="0" w:noHBand="0" w:noVBand="0"/>
      </w:tblPr>
      <w:tblGrid>
        <w:gridCol w:w="5312"/>
        <w:gridCol w:w="1114"/>
        <w:gridCol w:w="1468"/>
        <w:gridCol w:w="1466"/>
      </w:tblGrid>
      <w:tr w:rsidR="00E922D1" w:rsidRPr="00C66B91" w:rsidTr="00911666">
        <w:trPr>
          <w:trHeight w:val="284"/>
        </w:trPr>
        <w:tc>
          <w:tcPr>
            <w:tcW w:w="2838" w:type="pct"/>
            <w:tcBorders>
              <w:top w:val="nil"/>
              <w:left w:val="nil"/>
              <w:bottom w:val="nil"/>
              <w:right w:val="nil"/>
            </w:tcBorders>
          </w:tcPr>
          <w:p w:rsidR="00E922D1" w:rsidRPr="00C66B91" w:rsidRDefault="00E922D1" w:rsidP="00C46C22">
            <w:pPr>
              <w:rPr>
                <w:b/>
                <w:lang w:val="en-GB"/>
              </w:rPr>
            </w:pPr>
          </w:p>
          <w:p w:rsidR="00E922D1" w:rsidRPr="00C66B91" w:rsidRDefault="00E922D1" w:rsidP="00C46C22">
            <w:pPr>
              <w:rPr>
                <w:b/>
                <w:lang w:val="en-GB"/>
              </w:rPr>
            </w:pPr>
          </w:p>
        </w:tc>
        <w:tc>
          <w:tcPr>
            <w:tcW w:w="595" w:type="pct"/>
            <w:vMerge w:val="restart"/>
            <w:tcBorders>
              <w:top w:val="nil"/>
              <w:left w:val="nil"/>
              <w:right w:val="nil"/>
            </w:tcBorders>
            <w:vAlign w:val="center"/>
          </w:tcPr>
          <w:p w:rsidR="00E922D1" w:rsidRPr="00C66B91" w:rsidRDefault="00D92459" w:rsidP="00C46C22">
            <w:pPr>
              <w:jc w:val="center"/>
              <w:rPr>
                <w:i/>
                <w:lang w:val="en-GB"/>
              </w:rPr>
            </w:pPr>
            <w:r w:rsidRPr="00C66B91">
              <w:rPr>
                <w:i/>
                <w:sz w:val="22"/>
                <w:szCs w:val="22"/>
                <w:lang w:val="en-GB"/>
              </w:rPr>
              <w:t>Notes</w:t>
            </w:r>
          </w:p>
        </w:tc>
        <w:tc>
          <w:tcPr>
            <w:tcW w:w="784" w:type="pct"/>
            <w:tcBorders>
              <w:top w:val="nil"/>
              <w:left w:val="nil"/>
              <w:bottom w:val="single" w:sz="4" w:space="0" w:color="auto"/>
              <w:right w:val="nil"/>
            </w:tcBorders>
            <w:vAlign w:val="bottom"/>
          </w:tcPr>
          <w:p w:rsidR="00E922D1" w:rsidRPr="00C66B91" w:rsidRDefault="008A588E" w:rsidP="00911666">
            <w:pPr>
              <w:jc w:val="center"/>
              <w:rPr>
                <w:b/>
                <w:lang w:val="en-GB"/>
              </w:rPr>
            </w:pPr>
            <w:r w:rsidRPr="00C66B91">
              <w:rPr>
                <w:b/>
                <w:sz w:val="22"/>
                <w:szCs w:val="22"/>
                <w:lang w:val="en-GB"/>
              </w:rPr>
              <w:t>30.06</w:t>
            </w:r>
            <w:r w:rsidR="00E922D1" w:rsidRPr="00C66B91">
              <w:rPr>
                <w:b/>
                <w:sz w:val="22"/>
                <w:szCs w:val="22"/>
                <w:lang w:val="en-GB"/>
              </w:rPr>
              <w:t>.201</w:t>
            </w:r>
            <w:r w:rsidR="00911666" w:rsidRPr="00C66B91">
              <w:rPr>
                <w:b/>
                <w:sz w:val="22"/>
                <w:szCs w:val="22"/>
                <w:lang w:val="en-GB"/>
              </w:rPr>
              <w:t>5</w:t>
            </w:r>
          </w:p>
        </w:tc>
        <w:tc>
          <w:tcPr>
            <w:tcW w:w="783" w:type="pct"/>
            <w:tcBorders>
              <w:top w:val="nil"/>
              <w:left w:val="nil"/>
              <w:bottom w:val="single" w:sz="4" w:space="0" w:color="auto"/>
              <w:right w:val="nil"/>
            </w:tcBorders>
            <w:vAlign w:val="bottom"/>
          </w:tcPr>
          <w:p w:rsidR="00E922D1" w:rsidRPr="00C66B91" w:rsidRDefault="00E922D1" w:rsidP="00C46C22">
            <w:pPr>
              <w:jc w:val="center"/>
              <w:rPr>
                <w:b/>
                <w:lang w:val="en-GB"/>
              </w:rPr>
            </w:pPr>
            <w:r w:rsidRPr="00C66B91">
              <w:rPr>
                <w:b/>
                <w:sz w:val="22"/>
                <w:szCs w:val="22"/>
                <w:lang w:val="en-GB"/>
              </w:rPr>
              <w:t>31.12.201</w:t>
            </w:r>
            <w:r w:rsidR="00911666" w:rsidRPr="00C66B91">
              <w:rPr>
                <w:b/>
                <w:sz w:val="22"/>
                <w:szCs w:val="22"/>
                <w:lang w:val="en-GB"/>
              </w:rPr>
              <w:t>4</w:t>
            </w:r>
          </w:p>
        </w:tc>
      </w:tr>
      <w:tr w:rsidR="00E922D1" w:rsidRPr="00C66B91" w:rsidTr="00911666">
        <w:trPr>
          <w:trHeight w:val="284"/>
        </w:trPr>
        <w:tc>
          <w:tcPr>
            <w:tcW w:w="2838" w:type="pct"/>
            <w:tcBorders>
              <w:top w:val="nil"/>
              <w:left w:val="nil"/>
              <w:bottom w:val="nil"/>
              <w:right w:val="nil"/>
            </w:tcBorders>
          </w:tcPr>
          <w:p w:rsidR="00E922D1" w:rsidRPr="00C66B91" w:rsidRDefault="00E922D1" w:rsidP="00C46C22">
            <w:pPr>
              <w:rPr>
                <w:b/>
                <w:lang w:val="en-GB"/>
              </w:rPr>
            </w:pPr>
          </w:p>
        </w:tc>
        <w:tc>
          <w:tcPr>
            <w:tcW w:w="595" w:type="pct"/>
            <w:vMerge/>
            <w:tcBorders>
              <w:left w:val="nil"/>
              <w:bottom w:val="nil"/>
              <w:right w:val="nil"/>
            </w:tcBorders>
            <w:vAlign w:val="bottom"/>
          </w:tcPr>
          <w:p w:rsidR="00E922D1" w:rsidRPr="00C66B91" w:rsidRDefault="00E922D1" w:rsidP="00C46C22">
            <w:pPr>
              <w:jc w:val="center"/>
              <w:rPr>
                <w:i/>
                <w:lang w:val="en-GB"/>
              </w:rPr>
            </w:pPr>
          </w:p>
        </w:tc>
        <w:tc>
          <w:tcPr>
            <w:tcW w:w="784" w:type="pct"/>
            <w:tcBorders>
              <w:top w:val="single" w:sz="4" w:space="0" w:color="auto"/>
              <w:left w:val="nil"/>
              <w:bottom w:val="nil"/>
              <w:right w:val="nil"/>
            </w:tcBorders>
            <w:vAlign w:val="bottom"/>
          </w:tcPr>
          <w:p w:rsidR="00E922D1" w:rsidRPr="00C66B91" w:rsidRDefault="00E922D1" w:rsidP="00C46C22">
            <w:pPr>
              <w:jc w:val="center"/>
              <w:rPr>
                <w:b/>
                <w:lang w:val="en-GB"/>
              </w:rPr>
            </w:pPr>
            <w:r w:rsidRPr="00C66B91">
              <w:rPr>
                <w:b/>
                <w:sz w:val="22"/>
                <w:szCs w:val="22"/>
                <w:lang w:val="en-GB"/>
              </w:rPr>
              <w:t>BGN’000</w:t>
            </w:r>
          </w:p>
        </w:tc>
        <w:tc>
          <w:tcPr>
            <w:tcW w:w="783" w:type="pct"/>
            <w:tcBorders>
              <w:top w:val="single" w:sz="4" w:space="0" w:color="auto"/>
              <w:left w:val="nil"/>
              <w:bottom w:val="nil"/>
              <w:right w:val="nil"/>
            </w:tcBorders>
            <w:vAlign w:val="bottom"/>
          </w:tcPr>
          <w:p w:rsidR="00E922D1" w:rsidRPr="00C66B91" w:rsidRDefault="00E922D1" w:rsidP="00C46C22">
            <w:pPr>
              <w:jc w:val="center"/>
              <w:rPr>
                <w:b/>
                <w:lang w:val="en-GB"/>
              </w:rPr>
            </w:pPr>
            <w:r w:rsidRPr="00C66B91">
              <w:rPr>
                <w:b/>
                <w:sz w:val="22"/>
                <w:szCs w:val="22"/>
                <w:lang w:val="en-GB"/>
              </w:rPr>
              <w:t>BGN’000</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LIABILITIES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rPr>
                <w:b/>
                <w:bCs/>
                <w:color w:val="000000"/>
                <w:sz w:val="22"/>
                <w:szCs w:val="22"/>
                <w:lang w:val="en-GB"/>
              </w:rPr>
            </w:pPr>
          </w:p>
        </w:tc>
        <w:tc>
          <w:tcPr>
            <w:tcW w:w="784" w:type="pct"/>
            <w:tcBorders>
              <w:top w:val="nil"/>
              <w:left w:val="nil"/>
              <w:bottom w:val="nil"/>
              <w:right w:val="nil"/>
            </w:tcBorders>
            <w:shd w:val="clear" w:color="auto" w:fill="auto"/>
            <w:tcMar>
              <w:right w:w="340" w:type="dxa"/>
            </w:tcMar>
            <w:vAlign w:val="center"/>
          </w:tcPr>
          <w:p w:rsidR="00D92459" w:rsidRPr="00C66B91" w:rsidRDefault="00D92459" w:rsidP="00D92459">
            <w:pPr>
              <w:jc w:val="center"/>
              <w:rPr>
                <w:sz w:val="20"/>
                <w:szCs w:val="20"/>
                <w:lang w:val="en-GB"/>
              </w:rPr>
            </w:pPr>
          </w:p>
        </w:tc>
        <w:tc>
          <w:tcPr>
            <w:tcW w:w="783" w:type="pct"/>
            <w:tcBorders>
              <w:top w:val="nil"/>
              <w:left w:val="nil"/>
              <w:bottom w:val="nil"/>
              <w:right w:val="nil"/>
            </w:tcBorders>
            <w:shd w:val="clear" w:color="auto" w:fill="auto"/>
            <w:tcMar>
              <w:right w:w="454" w:type="dxa"/>
            </w:tcMar>
            <w:vAlign w:val="center"/>
          </w:tcPr>
          <w:p w:rsidR="00D92459" w:rsidRPr="00C66B91" w:rsidRDefault="00D92459" w:rsidP="00D92459">
            <w:pPr>
              <w:jc w:val="right"/>
              <w:rPr>
                <w:sz w:val="20"/>
                <w:szCs w:val="20"/>
                <w:lang w:val="en-GB"/>
              </w:rPr>
            </w:pP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jc w:val="right"/>
              <w:rPr>
                <w:sz w:val="20"/>
                <w:szCs w:val="20"/>
                <w:lang w:val="en-GB"/>
              </w:rPr>
            </w:pP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rPr>
                <w:sz w:val="20"/>
                <w:szCs w:val="20"/>
                <w:lang w:val="en-GB"/>
              </w:rPr>
            </w:pPr>
          </w:p>
        </w:tc>
        <w:tc>
          <w:tcPr>
            <w:tcW w:w="784" w:type="pct"/>
            <w:tcBorders>
              <w:top w:val="nil"/>
              <w:left w:val="nil"/>
              <w:bottom w:val="nil"/>
              <w:right w:val="nil"/>
            </w:tcBorders>
            <w:shd w:val="clear" w:color="auto" w:fill="auto"/>
            <w:tcMar>
              <w:right w:w="340" w:type="dxa"/>
            </w:tcMar>
            <w:vAlign w:val="center"/>
          </w:tcPr>
          <w:p w:rsidR="00D92459" w:rsidRPr="00C66B91" w:rsidRDefault="00D92459" w:rsidP="00D92459">
            <w:pPr>
              <w:jc w:val="center"/>
              <w:rPr>
                <w:sz w:val="20"/>
                <w:szCs w:val="20"/>
                <w:lang w:val="en-GB"/>
              </w:rPr>
            </w:pPr>
          </w:p>
        </w:tc>
        <w:tc>
          <w:tcPr>
            <w:tcW w:w="783" w:type="pct"/>
            <w:tcBorders>
              <w:top w:val="nil"/>
              <w:left w:val="nil"/>
              <w:bottom w:val="nil"/>
              <w:right w:val="nil"/>
            </w:tcBorders>
            <w:shd w:val="clear" w:color="auto" w:fill="auto"/>
            <w:tcMar>
              <w:right w:w="454" w:type="dxa"/>
            </w:tcMar>
            <w:vAlign w:val="center"/>
          </w:tcPr>
          <w:p w:rsidR="00D92459" w:rsidRPr="00C66B91" w:rsidRDefault="00D92459" w:rsidP="00D92459">
            <w:pPr>
              <w:jc w:val="right"/>
              <w:rPr>
                <w:sz w:val="20"/>
                <w:szCs w:val="20"/>
                <w:lang w:val="en-GB"/>
              </w:rPr>
            </w:pP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Equity</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rPr>
                <w:b/>
                <w:bCs/>
                <w:color w:val="000000"/>
                <w:sz w:val="22"/>
                <w:szCs w:val="22"/>
                <w:lang w:val="en-GB"/>
              </w:rPr>
            </w:pPr>
          </w:p>
        </w:tc>
        <w:tc>
          <w:tcPr>
            <w:tcW w:w="784" w:type="pct"/>
            <w:tcBorders>
              <w:top w:val="nil"/>
              <w:left w:val="nil"/>
              <w:bottom w:val="nil"/>
              <w:right w:val="nil"/>
            </w:tcBorders>
            <w:shd w:val="clear" w:color="auto" w:fill="auto"/>
            <w:tcMar>
              <w:right w:w="340" w:type="dxa"/>
            </w:tcMar>
            <w:vAlign w:val="center"/>
          </w:tcPr>
          <w:p w:rsidR="00D92459" w:rsidRPr="00C66B91" w:rsidRDefault="00D92459" w:rsidP="00D92459">
            <w:pPr>
              <w:jc w:val="center"/>
              <w:rPr>
                <w:sz w:val="20"/>
                <w:szCs w:val="20"/>
                <w:lang w:val="en-GB"/>
              </w:rPr>
            </w:pPr>
          </w:p>
        </w:tc>
        <w:tc>
          <w:tcPr>
            <w:tcW w:w="783" w:type="pct"/>
            <w:tcBorders>
              <w:top w:val="nil"/>
              <w:left w:val="nil"/>
              <w:bottom w:val="nil"/>
              <w:right w:val="nil"/>
            </w:tcBorders>
            <w:shd w:val="clear" w:color="auto" w:fill="auto"/>
            <w:tcMar>
              <w:right w:w="454" w:type="dxa"/>
            </w:tcMar>
            <w:vAlign w:val="center"/>
          </w:tcPr>
          <w:p w:rsidR="00D92459" w:rsidRPr="00C66B91" w:rsidRDefault="00D92459" w:rsidP="00D92459">
            <w:pPr>
              <w:jc w:val="right"/>
              <w:rPr>
                <w:sz w:val="20"/>
                <w:szCs w:val="20"/>
                <w:lang w:val="en-GB"/>
              </w:rPr>
            </w:pP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bookmarkStart w:id="1" w:name="_Hlk289271987"/>
            <w:r w:rsidRPr="00C66B91">
              <w:rPr>
                <w:color w:val="000000"/>
                <w:sz w:val="22"/>
                <w:szCs w:val="22"/>
                <w:lang w:val="en-GB"/>
              </w:rPr>
              <w:t>Share capital</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jc w:val="center"/>
              <w:rPr>
                <w:color w:val="000000"/>
                <w:sz w:val="22"/>
                <w:szCs w:val="22"/>
                <w:lang w:val="en-GB"/>
              </w:rPr>
            </w:pPr>
            <w:r w:rsidRPr="00C66B91">
              <w:rPr>
                <w:color w:val="000000"/>
                <w:sz w:val="22"/>
                <w:szCs w:val="22"/>
                <w:lang w:val="en-GB"/>
              </w:rPr>
              <w:t>9.1</w:t>
            </w: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5,336</w:t>
            </w: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5,336</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color w:val="241E1C"/>
                <w:sz w:val="22"/>
                <w:szCs w:val="22"/>
                <w:lang w:val="en-GB"/>
              </w:rPr>
            </w:pPr>
            <w:r w:rsidRPr="00C66B91">
              <w:rPr>
                <w:color w:val="241E1C"/>
                <w:sz w:val="22"/>
                <w:szCs w:val="22"/>
                <w:lang w:val="en-GB"/>
              </w:rPr>
              <w:t>Statutory reserves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jc w:val="center"/>
              <w:rPr>
                <w:color w:val="000000"/>
                <w:sz w:val="22"/>
                <w:szCs w:val="22"/>
                <w:lang w:val="en-GB"/>
              </w:rPr>
            </w:pPr>
            <w:r w:rsidRPr="00C66B91">
              <w:rPr>
                <w:color w:val="000000"/>
                <w:sz w:val="22"/>
                <w:szCs w:val="22"/>
                <w:lang w:val="en-GB"/>
              </w:rPr>
              <w:t>9.2</w:t>
            </w: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544</w:t>
            </w: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448</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color w:val="241E1C"/>
                <w:sz w:val="22"/>
                <w:szCs w:val="22"/>
                <w:lang w:val="en-GB"/>
              </w:rPr>
            </w:pPr>
            <w:r w:rsidRPr="00C66B91">
              <w:rPr>
                <w:color w:val="241E1C"/>
                <w:sz w:val="22"/>
                <w:szCs w:val="22"/>
                <w:lang w:val="en-GB"/>
              </w:rPr>
              <w:t>Premium reserves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jc w:val="center"/>
              <w:rPr>
                <w:color w:val="000000"/>
                <w:sz w:val="22"/>
                <w:szCs w:val="22"/>
                <w:lang w:val="en-GB"/>
              </w:rPr>
            </w:pPr>
            <w:r w:rsidRPr="00C66B91">
              <w:rPr>
                <w:color w:val="000000"/>
                <w:sz w:val="22"/>
                <w:szCs w:val="22"/>
                <w:lang w:val="en-GB"/>
              </w:rPr>
              <w:t>9.3</w:t>
            </w: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19,565</w:t>
            </w: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19,565</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r w:rsidRPr="00C66B91">
              <w:rPr>
                <w:color w:val="000000"/>
                <w:sz w:val="22"/>
                <w:szCs w:val="22"/>
                <w:lang w:val="en-GB"/>
              </w:rPr>
              <w:t>Retained earnings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rPr>
                <w:color w:val="000000"/>
                <w:sz w:val="22"/>
                <w:szCs w:val="22"/>
                <w:lang w:val="en-GB"/>
              </w:rPr>
            </w:pP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9,528</w:t>
            </w: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5,591</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r w:rsidRPr="00C66B91">
              <w:rPr>
                <w:color w:val="000000"/>
                <w:sz w:val="22"/>
                <w:szCs w:val="22"/>
                <w:lang w:val="en-GB"/>
              </w:rPr>
              <w:t>Current profit</w:t>
            </w:r>
          </w:p>
        </w:tc>
        <w:tc>
          <w:tcPr>
            <w:tcW w:w="595"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p>
        </w:tc>
        <w:tc>
          <w:tcPr>
            <w:tcW w:w="784" w:type="pct"/>
            <w:tcBorders>
              <w:top w:val="nil"/>
              <w:left w:val="nil"/>
              <w:bottom w:val="single" w:sz="8" w:space="0" w:color="auto"/>
              <w:right w:val="nil"/>
            </w:tcBorders>
            <w:shd w:val="clear" w:color="auto" w:fill="auto"/>
            <w:tcMar>
              <w:right w:w="255"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4,861</w:t>
            </w:r>
          </w:p>
        </w:tc>
        <w:tc>
          <w:tcPr>
            <w:tcW w:w="783" w:type="pct"/>
            <w:tcBorders>
              <w:top w:val="nil"/>
              <w:left w:val="nil"/>
              <w:bottom w:val="single" w:sz="8" w:space="0" w:color="auto"/>
              <w:right w:val="nil"/>
            </w:tcBorders>
            <w:shd w:val="clear" w:color="auto" w:fill="auto"/>
            <w:tcMar>
              <w:right w:w="255"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9,591</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Total equity</w:t>
            </w:r>
          </w:p>
        </w:tc>
        <w:tc>
          <w:tcPr>
            <w:tcW w:w="595"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b/>
                <w:bCs/>
                <w:color w:val="000000"/>
                <w:sz w:val="22"/>
                <w:szCs w:val="22"/>
                <w:lang w:val="en-GB"/>
              </w:rPr>
            </w:pPr>
            <w:r w:rsidRPr="00C66B91">
              <w:rPr>
                <w:b/>
                <w:bCs/>
                <w:color w:val="000000"/>
                <w:sz w:val="22"/>
                <w:szCs w:val="22"/>
                <w:lang w:val="en-GB"/>
              </w:rPr>
              <w:t>39,834</w:t>
            </w: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b/>
                <w:bCs/>
                <w:color w:val="000000"/>
                <w:sz w:val="22"/>
                <w:szCs w:val="22"/>
                <w:lang w:val="en-GB"/>
              </w:rPr>
            </w:pPr>
            <w:r w:rsidRPr="00C66B91">
              <w:rPr>
                <w:b/>
                <w:bCs/>
                <w:color w:val="000000"/>
                <w:sz w:val="22"/>
                <w:szCs w:val="22"/>
                <w:lang w:val="en-GB"/>
              </w:rPr>
              <w:t>40,531</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jc w:val="right"/>
              <w:rPr>
                <w:b/>
                <w:bCs/>
                <w:color w:val="000000"/>
                <w:sz w:val="22"/>
                <w:szCs w:val="22"/>
                <w:lang w:val="en-GB"/>
              </w:rPr>
            </w:pP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rPr>
                <w:sz w:val="20"/>
                <w:szCs w:val="20"/>
                <w:lang w:val="en-GB"/>
              </w:rPr>
            </w:pPr>
          </w:p>
        </w:tc>
        <w:tc>
          <w:tcPr>
            <w:tcW w:w="784" w:type="pct"/>
            <w:tcBorders>
              <w:top w:val="single" w:sz="8" w:space="0" w:color="auto"/>
              <w:left w:val="nil"/>
              <w:bottom w:val="nil"/>
              <w:right w:val="nil"/>
            </w:tcBorders>
            <w:shd w:val="clear" w:color="auto" w:fill="auto"/>
            <w:tcMar>
              <w:right w:w="255"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 </w:t>
            </w:r>
          </w:p>
        </w:tc>
        <w:tc>
          <w:tcPr>
            <w:tcW w:w="783" w:type="pct"/>
            <w:tcBorders>
              <w:top w:val="single" w:sz="8" w:space="0" w:color="auto"/>
              <w:left w:val="nil"/>
              <w:bottom w:val="nil"/>
              <w:right w:val="nil"/>
            </w:tcBorders>
            <w:shd w:val="clear" w:color="auto" w:fill="auto"/>
            <w:tcMar>
              <w:right w:w="255" w:type="dxa"/>
            </w:tcMar>
            <w:vAlign w:val="center"/>
          </w:tcPr>
          <w:p w:rsidR="00D92459" w:rsidRPr="00C66B91" w:rsidRDefault="00D92459" w:rsidP="00D92459">
            <w:pPr>
              <w:jc w:val="right"/>
              <w:rPr>
                <w:color w:val="000000"/>
                <w:sz w:val="22"/>
                <w:szCs w:val="22"/>
                <w:lang w:val="en-GB"/>
              </w:rPr>
            </w:pPr>
            <w:r w:rsidRPr="00C66B91">
              <w:rPr>
                <w:color w:val="000000"/>
                <w:sz w:val="22"/>
                <w:szCs w:val="22"/>
                <w:lang w:val="en-GB"/>
              </w:rPr>
              <w:t> </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Non-current liabilities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rPr>
                <w:b/>
                <w:bCs/>
                <w:color w:val="000000"/>
                <w:sz w:val="22"/>
                <w:szCs w:val="22"/>
                <w:lang w:val="en-GB"/>
              </w:rPr>
            </w:pP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center"/>
              <w:rPr>
                <w:sz w:val="20"/>
                <w:szCs w:val="20"/>
                <w:lang w:val="en-GB"/>
              </w:rPr>
            </w:pP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sz w:val="20"/>
                <w:szCs w:val="20"/>
                <w:lang w:val="en-GB"/>
              </w:rPr>
            </w:pP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color w:val="241E1C"/>
                <w:sz w:val="22"/>
                <w:szCs w:val="22"/>
                <w:lang w:val="en-GB"/>
              </w:rPr>
            </w:pPr>
            <w:r w:rsidRPr="00C66B91">
              <w:rPr>
                <w:color w:val="241E1C"/>
                <w:sz w:val="22"/>
                <w:szCs w:val="22"/>
                <w:lang w:val="en-GB"/>
              </w:rPr>
              <w:t>Obligations under financial lease agreements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jc w:val="center"/>
              <w:rPr>
                <w:color w:val="000000"/>
                <w:sz w:val="22"/>
                <w:szCs w:val="22"/>
                <w:lang w:val="en-GB"/>
              </w:rPr>
            </w:pPr>
            <w:r w:rsidRPr="00C66B91">
              <w:rPr>
                <w:color w:val="000000"/>
                <w:sz w:val="22"/>
                <w:szCs w:val="22"/>
                <w:lang w:val="en-GB"/>
              </w:rPr>
              <w:t>10</w:t>
            </w: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7,693</w:t>
            </w: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8,505</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color w:val="241E1C"/>
                <w:sz w:val="22"/>
                <w:szCs w:val="22"/>
                <w:lang w:val="en-GB"/>
              </w:rPr>
            </w:pPr>
            <w:r w:rsidRPr="00C66B91">
              <w:rPr>
                <w:color w:val="241E1C"/>
                <w:sz w:val="22"/>
                <w:szCs w:val="22"/>
                <w:lang w:val="en-GB"/>
              </w:rPr>
              <w:t>Loans obtained from banks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jc w:val="center"/>
              <w:rPr>
                <w:color w:val="000000"/>
                <w:sz w:val="22"/>
                <w:szCs w:val="22"/>
                <w:lang w:val="en-GB"/>
              </w:rPr>
            </w:pPr>
            <w:r w:rsidRPr="00C66B91">
              <w:rPr>
                <w:color w:val="000000"/>
                <w:sz w:val="22"/>
                <w:szCs w:val="22"/>
                <w:lang w:val="en-GB"/>
              </w:rPr>
              <w:t>11</w:t>
            </w:r>
          </w:p>
        </w:tc>
        <w:tc>
          <w:tcPr>
            <w:tcW w:w="784" w:type="pct"/>
            <w:tcBorders>
              <w:top w:val="nil"/>
              <w:left w:val="nil"/>
              <w:bottom w:val="single" w:sz="8" w:space="0" w:color="auto"/>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4,966</w:t>
            </w:r>
          </w:p>
        </w:tc>
        <w:tc>
          <w:tcPr>
            <w:tcW w:w="783" w:type="pct"/>
            <w:tcBorders>
              <w:top w:val="nil"/>
              <w:left w:val="nil"/>
              <w:bottom w:val="single" w:sz="8" w:space="0" w:color="auto"/>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4,411</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Total non-current liabilities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rPr>
                <w:b/>
                <w:bCs/>
                <w:color w:val="000000"/>
                <w:sz w:val="22"/>
                <w:szCs w:val="22"/>
                <w:lang w:val="en-GB"/>
              </w:rPr>
            </w:pPr>
          </w:p>
        </w:tc>
        <w:tc>
          <w:tcPr>
            <w:tcW w:w="784" w:type="pct"/>
            <w:tcBorders>
              <w:top w:val="nil"/>
              <w:left w:val="nil"/>
              <w:bottom w:val="single" w:sz="8" w:space="0" w:color="auto"/>
              <w:right w:val="nil"/>
            </w:tcBorders>
            <w:shd w:val="clear" w:color="auto" w:fill="auto"/>
            <w:tcMar>
              <w:right w:w="255" w:type="dxa"/>
            </w:tcMar>
            <w:vAlign w:val="center"/>
          </w:tcPr>
          <w:p w:rsidR="00D92459" w:rsidRPr="00C66B91" w:rsidRDefault="00D92459" w:rsidP="00D92459">
            <w:pPr>
              <w:jc w:val="right"/>
              <w:rPr>
                <w:b/>
                <w:bCs/>
                <w:color w:val="241E1C"/>
                <w:sz w:val="22"/>
                <w:szCs w:val="22"/>
                <w:lang w:val="en-GB"/>
              </w:rPr>
            </w:pPr>
            <w:r w:rsidRPr="00C66B91">
              <w:rPr>
                <w:b/>
                <w:bCs/>
                <w:color w:val="241E1C"/>
                <w:sz w:val="22"/>
                <w:szCs w:val="22"/>
                <w:lang w:val="en-GB"/>
              </w:rPr>
              <w:t>12,659</w:t>
            </w:r>
          </w:p>
        </w:tc>
        <w:tc>
          <w:tcPr>
            <w:tcW w:w="783" w:type="pct"/>
            <w:tcBorders>
              <w:top w:val="nil"/>
              <w:left w:val="nil"/>
              <w:bottom w:val="single" w:sz="8" w:space="0" w:color="auto"/>
              <w:right w:val="nil"/>
            </w:tcBorders>
            <w:shd w:val="clear" w:color="auto" w:fill="auto"/>
            <w:tcMar>
              <w:right w:w="255" w:type="dxa"/>
            </w:tcMar>
            <w:vAlign w:val="center"/>
          </w:tcPr>
          <w:p w:rsidR="00D92459" w:rsidRPr="00C66B91" w:rsidRDefault="00D92459" w:rsidP="00D92459">
            <w:pPr>
              <w:jc w:val="right"/>
              <w:rPr>
                <w:b/>
                <w:bCs/>
                <w:color w:val="241E1C"/>
                <w:sz w:val="22"/>
                <w:szCs w:val="22"/>
                <w:lang w:val="en-GB"/>
              </w:rPr>
            </w:pPr>
            <w:r w:rsidRPr="00C66B91">
              <w:rPr>
                <w:b/>
                <w:bCs/>
                <w:color w:val="241E1C"/>
                <w:sz w:val="22"/>
                <w:szCs w:val="22"/>
                <w:lang w:val="en-GB"/>
              </w:rPr>
              <w:t>12,916</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jc w:val="right"/>
              <w:rPr>
                <w:b/>
                <w:bCs/>
                <w:color w:val="241E1C"/>
                <w:sz w:val="22"/>
                <w:szCs w:val="22"/>
                <w:lang w:val="en-GB"/>
              </w:rPr>
            </w:pP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rPr>
                <w:sz w:val="20"/>
                <w:szCs w:val="20"/>
                <w:lang w:val="en-GB"/>
              </w:rPr>
            </w:pP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center"/>
              <w:rPr>
                <w:sz w:val="20"/>
                <w:szCs w:val="20"/>
                <w:lang w:val="en-GB"/>
              </w:rPr>
            </w:pP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sz w:val="20"/>
                <w:szCs w:val="20"/>
                <w:lang w:val="en-GB"/>
              </w:rPr>
            </w:pP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 xml:space="preserve">Current liabilities </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rPr>
                <w:b/>
                <w:bCs/>
                <w:color w:val="000000"/>
                <w:sz w:val="22"/>
                <w:szCs w:val="22"/>
                <w:lang w:val="en-GB"/>
              </w:rPr>
            </w:pP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center"/>
              <w:rPr>
                <w:sz w:val="20"/>
                <w:szCs w:val="20"/>
                <w:lang w:val="en-GB"/>
              </w:rPr>
            </w:pP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sz w:val="20"/>
                <w:szCs w:val="20"/>
                <w:lang w:val="en-GB"/>
              </w:rPr>
            </w:pPr>
          </w:p>
        </w:tc>
      </w:tr>
      <w:bookmarkEnd w:id="1"/>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color w:val="241E1C"/>
                <w:sz w:val="22"/>
                <w:szCs w:val="22"/>
                <w:lang w:val="en-GB"/>
              </w:rPr>
            </w:pPr>
            <w:r w:rsidRPr="00C66B91">
              <w:rPr>
                <w:color w:val="241E1C"/>
                <w:sz w:val="22"/>
                <w:szCs w:val="22"/>
                <w:lang w:val="en-GB"/>
              </w:rPr>
              <w:t>Obligations under financial lease agreements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jc w:val="center"/>
              <w:rPr>
                <w:color w:val="000000"/>
                <w:sz w:val="22"/>
                <w:szCs w:val="22"/>
                <w:lang w:val="en-GB"/>
              </w:rPr>
            </w:pPr>
            <w:r w:rsidRPr="00C66B91">
              <w:rPr>
                <w:color w:val="000000"/>
                <w:sz w:val="22"/>
                <w:szCs w:val="22"/>
                <w:lang w:val="en-GB"/>
              </w:rPr>
              <w:t>10</w:t>
            </w: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3,802</w:t>
            </w: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3,645</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color w:val="241E1C"/>
                <w:sz w:val="22"/>
                <w:szCs w:val="22"/>
                <w:lang w:val="en-GB"/>
              </w:rPr>
            </w:pPr>
            <w:r w:rsidRPr="00C66B91">
              <w:rPr>
                <w:color w:val="241E1C"/>
                <w:sz w:val="22"/>
                <w:szCs w:val="22"/>
                <w:lang w:val="en-GB"/>
              </w:rPr>
              <w:t>Loans obtained from banks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jc w:val="center"/>
              <w:rPr>
                <w:color w:val="000000"/>
                <w:sz w:val="22"/>
                <w:szCs w:val="22"/>
                <w:lang w:val="en-GB"/>
              </w:rPr>
            </w:pPr>
            <w:r w:rsidRPr="00C66B91">
              <w:rPr>
                <w:color w:val="000000"/>
                <w:sz w:val="22"/>
                <w:szCs w:val="22"/>
                <w:lang w:val="en-GB"/>
              </w:rPr>
              <w:t>11</w:t>
            </w: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1,823</w:t>
            </w: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1,299</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color w:val="241E1C"/>
                <w:sz w:val="22"/>
                <w:szCs w:val="22"/>
                <w:lang w:val="en-GB"/>
              </w:rPr>
            </w:pPr>
            <w:r w:rsidRPr="00C66B91">
              <w:rPr>
                <w:color w:val="241E1C"/>
                <w:sz w:val="22"/>
                <w:szCs w:val="22"/>
                <w:lang w:val="en-GB"/>
              </w:rPr>
              <w:t>Trade and other payables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jc w:val="center"/>
              <w:rPr>
                <w:color w:val="000000"/>
                <w:sz w:val="22"/>
                <w:szCs w:val="22"/>
                <w:lang w:val="en-GB"/>
              </w:rPr>
            </w:pPr>
            <w:r w:rsidRPr="00C66B91">
              <w:rPr>
                <w:color w:val="000000"/>
                <w:sz w:val="22"/>
                <w:szCs w:val="22"/>
                <w:lang w:val="en-GB"/>
              </w:rPr>
              <w:t>12</w:t>
            </w: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17,716</w:t>
            </w: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17,819</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r w:rsidRPr="00C66B91">
              <w:rPr>
                <w:color w:val="000000"/>
                <w:sz w:val="22"/>
                <w:szCs w:val="22"/>
                <w:lang w:val="en-GB"/>
              </w:rPr>
              <w:t>Tax payables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jc w:val="center"/>
              <w:rPr>
                <w:color w:val="000000"/>
                <w:sz w:val="22"/>
                <w:szCs w:val="22"/>
                <w:lang w:val="en-GB"/>
              </w:rPr>
            </w:pPr>
            <w:r w:rsidRPr="00C66B91">
              <w:rPr>
                <w:color w:val="000000"/>
                <w:sz w:val="22"/>
                <w:szCs w:val="22"/>
                <w:lang w:val="en-GB"/>
              </w:rPr>
              <w:t>21</w:t>
            </w: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866</w:t>
            </w: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985</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color w:val="000000"/>
                <w:sz w:val="22"/>
                <w:szCs w:val="22"/>
                <w:lang w:val="en-GB"/>
              </w:rPr>
            </w:pPr>
            <w:r w:rsidRPr="00C66B91">
              <w:rPr>
                <w:color w:val="000000"/>
                <w:sz w:val="22"/>
                <w:szCs w:val="22"/>
                <w:lang w:val="en-GB"/>
              </w:rPr>
              <w:t>Other current liabilities</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rPr>
                <w:color w:val="000000"/>
                <w:sz w:val="22"/>
                <w:szCs w:val="22"/>
                <w:lang w:val="en-GB"/>
              </w:rPr>
            </w:pPr>
          </w:p>
        </w:tc>
        <w:tc>
          <w:tcPr>
            <w:tcW w:w="784"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1,769</w:t>
            </w:r>
          </w:p>
        </w:tc>
        <w:tc>
          <w:tcPr>
            <w:tcW w:w="783" w:type="pct"/>
            <w:tcBorders>
              <w:top w:val="nil"/>
              <w:left w:val="nil"/>
              <w:bottom w:val="nil"/>
              <w:right w:val="nil"/>
            </w:tcBorders>
            <w:shd w:val="clear" w:color="auto" w:fill="auto"/>
            <w:tcMar>
              <w:right w:w="255" w:type="dxa"/>
            </w:tcMar>
            <w:vAlign w:val="center"/>
          </w:tcPr>
          <w:p w:rsidR="00D92459" w:rsidRPr="00C66B91" w:rsidRDefault="00D92459" w:rsidP="00D92459">
            <w:pPr>
              <w:jc w:val="right"/>
              <w:rPr>
                <w:color w:val="241E1C"/>
                <w:sz w:val="22"/>
                <w:szCs w:val="22"/>
                <w:lang w:val="en-GB"/>
              </w:rPr>
            </w:pPr>
            <w:r w:rsidRPr="00C66B91">
              <w:rPr>
                <w:color w:val="241E1C"/>
                <w:sz w:val="22"/>
                <w:szCs w:val="22"/>
                <w:lang w:val="en-GB"/>
              </w:rPr>
              <w:t>2,080</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Total current liabilities</w:t>
            </w:r>
          </w:p>
        </w:tc>
        <w:tc>
          <w:tcPr>
            <w:tcW w:w="595"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p>
        </w:tc>
        <w:tc>
          <w:tcPr>
            <w:tcW w:w="784" w:type="pct"/>
            <w:tcBorders>
              <w:top w:val="single" w:sz="8" w:space="0" w:color="auto"/>
              <w:left w:val="nil"/>
              <w:bottom w:val="single" w:sz="8" w:space="0" w:color="auto"/>
              <w:right w:val="nil"/>
            </w:tcBorders>
            <w:shd w:val="clear" w:color="auto" w:fill="auto"/>
            <w:tcMar>
              <w:right w:w="255" w:type="dxa"/>
            </w:tcMar>
            <w:vAlign w:val="center"/>
          </w:tcPr>
          <w:p w:rsidR="00D92459" w:rsidRPr="00C66B91" w:rsidRDefault="00D92459" w:rsidP="00D92459">
            <w:pPr>
              <w:jc w:val="right"/>
              <w:rPr>
                <w:b/>
                <w:bCs/>
                <w:color w:val="241E1C"/>
                <w:sz w:val="22"/>
                <w:szCs w:val="22"/>
                <w:lang w:val="en-GB"/>
              </w:rPr>
            </w:pPr>
            <w:r w:rsidRPr="00C66B91">
              <w:rPr>
                <w:b/>
                <w:bCs/>
                <w:color w:val="241E1C"/>
                <w:sz w:val="22"/>
                <w:szCs w:val="22"/>
                <w:lang w:val="en-GB"/>
              </w:rPr>
              <w:t>25,976</w:t>
            </w:r>
          </w:p>
        </w:tc>
        <w:tc>
          <w:tcPr>
            <w:tcW w:w="783" w:type="pct"/>
            <w:tcBorders>
              <w:top w:val="single" w:sz="8" w:space="0" w:color="auto"/>
              <w:left w:val="nil"/>
              <w:bottom w:val="single" w:sz="8" w:space="0" w:color="auto"/>
              <w:right w:val="nil"/>
            </w:tcBorders>
            <w:shd w:val="clear" w:color="auto" w:fill="auto"/>
            <w:tcMar>
              <w:right w:w="255" w:type="dxa"/>
            </w:tcMar>
            <w:vAlign w:val="center"/>
          </w:tcPr>
          <w:p w:rsidR="00D92459" w:rsidRPr="00C66B91" w:rsidRDefault="00D92459" w:rsidP="00D92459">
            <w:pPr>
              <w:jc w:val="right"/>
              <w:rPr>
                <w:b/>
                <w:bCs/>
                <w:color w:val="241E1C"/>
                <w:sz w:val="22"/>
                <w:szCs w:val="22"/>
                <w:lang w:val="en-GB"/>
              </w:rPr>
            </w:pPr>
            <w:r w:rsidRPr="00C66B91">
              <w:rPr>
                <w:b/>
                <w:bCs/>
                <w:color w:val="241E1C"/>
                <w:sz w:val="22"/>
                <w:szCs w:val="22"/>
                <w:lang w:val="en-GB"/>
              </w:rPr>
              <w:t>25,828</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jc w:val="right"/>
              <w:rPr>
                <w:b/>
                <w:bCs/>
                <w:color w:val="241E1C"/>
                <w:sz w:val="22"/>
                <w:szCs w:val="22"/>
                <w:lang w:val="en-GB"/>
              </w:rPr>
            </w:pP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rPr>
                <w:sz w:val="20"/>
                <w:szCs w:val="20"/>
                <w:lang w:val="en-GB"/>
              </w:rPr>
            </w:pPr>
          </w:p>
        </w:tc>
        <w:tc>
          <w:tcPr>
            <w:tcW w:w="784" w:type="pct"/>
            <w:tcBorders>
              <w:top w:val="nil"/>
              <w:left w:val="nil"/>
              <w:bottom w:val="single" w:sz="8" w:space="0" w:color="auto"/>
              <w:right w:val="nil"/>
            </w:tcBorders>
            <w:shd w:val="clear" w:color="auto" w:fill="auto"/>
            <w:tcMar>
              <w:right w:w="255" w:type="dxa"/>
            </w:tcMar>
            <w:vAlign w:val="center"/>
          </w:tcPr>
          <w:p w:rsidR="00D92459" w:rsidRPr="00C66B91" w:rsidRDefault="00D92459" w:rsidP="00D92459">
            <w:pPr>
              <w:jc w:val="right"/>
              <w:rPr>
                <w:b/>
                <w:bCs/>
                <w:color w:val="000000"/>
                <w:sz w:val="22"/>
                <w:szCs w:val="22"/>
                <w:lang w:val="en-GB"/>
              </w:rPr>
            </w:pPr>
            <w:r w:rsidRPr="00C66B91">
              <w:rPr>
                <w:b/>
                <w:bCs/>
                <w:color w:val="000000"/>
                <w:sz w:val="22"/>
                <w:szCs w:val="22"/>
                <w:lang w:val="en-GB"/>
              </w:rPr>
              <w:t> </w:t>
            </w:r>
          </w:p>
        </w:tc>
        <w:tc>
          <w:tcPr>
            <w:tcW w:w="783" w:type="pct"/>
            <w:tcBorders>
              <w:top w:val="nil"/>
              <w:left w:val="nil"/>
              <w:bottom w:val="single" w:sz="8" w:space="0" w:color="auto"/>
              <w:right w:val="nil"/>
            </w:tcBorders>
            <w:shd w:val="clear" w:color="auto" w:fill="auto"/>
            <w:tcMar>
              <w:right w:w="255" w:type="dxa"/>
            </w:tcMar>
            <w:vAlign w:val="center"/>
          </w:tcPr>
          <w:p w:rsidR="00D92459" w:rsidRPr="00C66B91" w:rsidRDefault="00D92459" w:rsidP="00D92459">
            <w:pPr>
              <w:jc w:val="right"/>
              <w:rPr>
                <w:b/>
                <w:bCs/>
                <w:color w:val="000000"/>
                <w:sz w:val="22"/>
                <w:szCs w:val="22"/>
                <w:lang w:val="en-GB"/>
              </w:rPr>
            </w:pPr>
            <w:r w:rsidRPr="00C66B91">
              <w:rPr>
                <w:b/>
                <w:bCs/>
                <w:color w:val="000000"/>
                <w:sz w:val="22"/>
                <w:szCs w:val="22"/>
                <w:lang w:val="en-GB"/>
              </w:rPr>
              <w:t> </w:t>
            </w:r>
          </w:p>
        </w:tc>
      </w:tr>
      <w:tr w:rsidR="00D92459" w:rsidRPr="00C66B91" w:rsidTr="00911666">
        <w:trPr>
          <w:trHeight w:val="284"/>
        </w:trPr>
        <w:tc>
          <w:tcPr>
            <w:tcW w:w="2838" w:type="pct"/>
            <w:tcBorders>
              <w:top w:val="nil"/>
              <w:left w:val="nil"/>
              <w:bottom w:val="nil"/>
              <w:right w:val="nil"/>
            </w:tcBorders>
            <w:shd w:val="clear" w:color="auto" w:fill="auto"/>
            <w:vAlign w:val="center"/>
          </w:tcPr>
          <w:p w:rsidR="00D92459" w:rsidRPr="00C66B91" w:rsidRDefault="00D92459" w:rsidP="00D92459">
            <w:pPr>
              <w:rPr>
                <w:b/>
                <w:bCs/>
                <w:color w:val="000000"/>
                <w:sz w:val="22"/>
                <w:szCs w:val="22"/>
                <w:lang w:val="en-GB"/>
              </w:rPr>
            </w:pPr>
            <w:r w:rsidRPr="00C66B91">
              <w:rPr>
                <w:b/>
                <w:bCs/>
                <w:color w:val="000000"/>
                <w:sz w:val="22"/>
                <w:szCs w:val="22"/>
                <w:lang w:val="en-GB"/>
              </w:rPr>
              <w:t xml:space="preserve">TOTAL EQUITY AND LIABILITIES </w:t>
            </w:r>
          </w:p>
        </w:tc>
        <w:tc>
          <w:tcPr>
            <w:tcW w:w="595" w:type="pct"/>
            <w:tcBorders>
              <w:top w:val="nil"/>
              <w:left w:val="nil"/>
              <w:bottom w:val="nil"/>
              <w:right w:val="nil"/>
            </w:tcBorders>
            <w:shd w:val="clear" w:color="auto" w:fill="auto"/>
            <w:tcMar>
              <w:right w:w="454" w:type="dxa"/>
            </w:tcMar>
            <w:vAlign w:val="center"/>
          </w:tcPr>
          <w:p w:rsidR="00D92459" w:rsidRPr="00C66B91" w:rsidRDefault="00D92459" w:rsidP="00D92459">
            <w:pPr>
              <w:rPr>
                <w:b/>
                <w:bCs/>
                <w:color w:val="000000"/>
                <w:sz w:val="22"/>
                <w:szCs w:val="22"/>
                <w:lang w:val="en-GB"/>
              </w:rPr>
            </w:pPr>
          </w:p>
        </w:tc>
        <w:tc>
          <w:tcPr>
            <w:tcW w:w="784" w:type="pct"/>
            <w:tcBorders>
              <w:top w:val="nil"/>
              <w:left w:val="nil"/>
              <w:bottom w:val="double" w:sz="6" w:space="0" w:color="auto"/>
              <w:right w:val="nil"/>
            </w:tcBorders>
            <w:shd w:val="clear" w:color="auto" w:fill="auto"/>
            <w:tcMar>
              <w:right w:w="255" w:type="dxa"/>
            </w:tcMar>
            <w:vAlign w:val="center"/>
          </w:tcPr>
          <w:p w:rsidR="00D92459" w:rsidRPr="00C66B91" w:rsidRDefault="00D92459" w:rsidP="00D92459">
            <w:pPr>
              <w:jc w:val="right"/>
              <w:rPr>
                <w:b/>
                <w:bCs/>
                <w:color w:val="241E1C"/>
                <w:sz w:val="22"/>
                <w:szCs w:val="22"/>
                <w:lang w:val="en-GB"/>
              </w:rPr>
            </w:pPr>
            <w:r w:rsidRPr="00C66B91">
              <w:rPr>
                <w:b/>
                <w:bCs/>
                <w:color w:val="241E1C"/>
                <w:sz w:val="22"/>
                <w:szCs w:val="22"/>
                <w:lang w:val="en-GB"/>
              </w:rPr>
              <w:t>78,469</w:t>
            </w:r>
          </w:p>
        </w:tc>
        <w:tc>
          <w:tcPr>
            <w:tcW w:w="783" w:type="pct"/>
            <w:tcBorders>
              <w:top w:val="nil"/>
              <w:left w:val="nil"/>
              <w:bottom w:val="double" w:sz="6" w:space="0" w:color="auto"/>
              <w:right w:val="nil"/>
            </w:tcBorders>
            <w:shd w:val="clear" w:color="auto" w:fill="auto"/>
            <w:tcMar>
              <w:right w:w="255" w:type="dxa"/>
            </w:tcMar>
            <w:vAlign w:val="center"/>
          </w:tcPr>
          <w:p w:rsidR="00D92459" w:rsidRPr="00C66B91" w:rsidRDefault="00D92459" w:rsidP="00D92459">
            <w:pPr>
              <w:jc w:val="right"/>
              <w:rPr>
                <w:b/>
                <w:bCs/>
                <w:color w:val="241E1C"/>
                <w:sz w:val="22"/>
                <w:szCs w:val="22"/>
                <w:lang w:val="en-GB"/>
              </w:rPr>
            </w:pPr>
            <w:r w:rsidRPr="00C66B91">
              <w:rPr>
                <w:b/>
                <w:bCs/>
                <w:color w:val="241E1C"/>
                <w:sz w:val="22"/>
                <w:szCs w:val="22"/>
                <w:lang w:val="en-GB"/>
              </w:rPr>
              <w:t>79,275</w:t>
            </w:r>
          </w:p>
        </w:tc>
      </w:tr>
    </w:tbl>
    <w:p w:rsidR="00E922D1" w:rsidRPr="00C66B91" w:rsidRDefault="00E922D1" w:rsidP="00E922D1">
      <w:pPr>
        <w:pStyle w:val="084cursiefgeeninspring"/>
        <w:spacing w:line="240" w:lineRule="auto"/>
        <w:jc w:val="both"/>
        <w:rPr>
          <w:sz w:val="22"/>
          <w:szCs w:val="22"/>
          <w:lang w:val="en-GB"/>
        </w:rPr>
      </w:pPr>
    </w:p>
    <w:p w:rsidR="0082243E" w:rsidRPr="00C66B91" w:rsidRDefault="0082243E" w:rsidP="0082243E">
      <w:pPr>
        <w:pStyle w:val="084cursiefgeeninspring"/>
        <w:spacing w:line="240" w:lineRule="auto"/>
        <w:jc w:val="both"/>
        <w:rPr>
          <w:sz w:val="22"/>
          <w:szCs w:val="22"/>
          <w:lang w:val="en-GB"/>
        </w:rPr>
      </w:pPr>
      <w:r w:rsidRPr="00C66B91">
        <w:rPr>
          <w:sz w:val="22"/>
          <w:szCs w:val="22"/>
          <w:lang w:val="en-GB"/>
        </w:rPr>
        <w:t>The enclosed explanatory notes on pages 1 to 23 are an integral part of the financial statement.</w:t>
      </w:r>
    </w:p>
    <w:p w:rsidR="0082243E" w:rsidRPr="00C66B91" w:rsidRDefault="0082243E" w:rsidP="0082243E">
      <w:pPr>
        <w:jc w:val="both"/>
        <w:rPr>
          <w:rFonts w:eastAsia="Times"/>
          <w:sz w:val="22"/>
          <w:szCs w:val="22"/>
          <w:lang w:val="en-GB"/>
        </w:rPr>
      </w:pPr>
    </w:p>
    <w:p w:rsidR="0082243E" w:rsidRPr="00C66B91" w:rsidRDefault="0082243E" w:rsidP="0082243E">
      <w:pPr>
        <w:jc w:val="both"/>
        <w:rPr>
          <w:lang w:val="en-GB" w:eastAsia="bg-BG"/>
        </w:rPr>
      </w:pPr>
    </w:p>
    <w:p w:rsidR="0082243E" w:rsidRPr="00C66B91" w:rsidRDefault="0082243E" w:rsidP="0082243E">
      <w:pPr>
        <w:jc w:val="both"/>
        <w:rPr>
          <w:lang w:val="en-GB" w:eastAsia="bg-BG"/>
        </w:rPr>
      </w:pPr>
    </w:p>
    <w:tbl>
      <w:tblPr>
        <w:tblW w:w="9484" w:type="dxa"/>
        <w:tblLayout w:type="fixed"/>
        <w:tblLook w:val="0000" w:firstRow="0" w:lastRow="0" w:firstColumn="0" w:lastColumn="0" w:noHBand="0" w:noVBand="0"/>
      </w:tblPr>
      <w:tblGrid>
        <w:gridCol w:w="4977"/>
        <w:gridCol w:w="4507"/>
      </w:tblGrid>
      <w:tr w:rsidR="0082243E" w:rsidRPr="00C66B91" w:rsidTr="000554E8">
        <w:trPr>
          <w:trHeight w:val="284"/>
        </w:trPr>
        <w:tc>
          <w:tcPr>
            <w:tcW w:w="4977" w:type="dxa"/>
            <w:tcBorders>
              <w:top w:val="nil"/>
              <w:left w:val="nil"/>
              <w:bottom w:val="nil"/>
              <w:right w:val="nil"/>
            </w:tcBorders>
          </w:tcPr>
          <w:p w:rsidR="0082243E" w:rsidRPr="00C66B91" w:rsidRDefault="0082243E" w:rsidP="000554E8">
            <w:pPr>
              <w:rPr>
                <w:lang w:val="en-GB"/>
              </w:rPr>
            </w:pPr>
            <w:r w:rsidRPr="00C66B91">
              <w:rPr>
                <w:sz w:val="22"/>
                <w:szCs w:val="22"/>
                <w:lang w:val="en-GB"/>
              </w:rPr>
              <w:t>Executive Director:</w:t>
            </w:r>
          </w:p>
        </w:tc>
        <w:tc>
          <w:tcPr>
            <w:tcW w:w="4507" w:type="dxa"/>
            <w:tcBorders>
              <w:top w:val="nil"/>
              <w:left w:val="nil"/>
              <w:bottom w:val="nil"/>
              <w:right w:val="nil"/>
            </w:tcBorders>
          </w:tcPr>
          <w:p w:rsidR="0082243E" w:rsidRPr="00C66B91" w:rsidRDefault="0082243E" w:rsidP="000554E8">
            <w:pPr>
              <w:rPr>
                <w:lang w:val="en-GB"/>
              </w:rPr>
            </w:pPr>
            <w:r w:rsidRPr="00C66B91">
              <w:rPr>
                <w:color w:val="241E1C"/>
                <w:spacing w:val="-1"/>
                <w:sz w:val="22"/>
                <w:szCs w:val="22"/>
                <w:lang w:val="en-GB"/>
              </w:rPr>
              <w:t xml:space="preserve">     Chief Accountant</w:t>
            </w:r>
            <w:r w:rsidRPr="00C66B91">
              <w:rPr>
                <w:sz w:val="22"/>
                <w:szCs w:val="22"/>
                <w:lang w:val="en-GB"/>
              </w:rPr>
              <w:t>:</w:t>
            </w:r>
          </w:p>
        </w:tc>
      </w:tr>
      <w:tr w:rsidR="0082243E" w:rsidRPr="00C66B91" w:rsidTr="000554E8">
        <w:trPr>
          <w:trHeight w:val="284"/>
        </w:trPr>
        <w:tc>
          <w:tcPr>
            <w:tcW w:w="4977" w:type="dxa"/>
            <w:tcBorders>
              <w:top w:val="nil"/>
              <w:left w:val="nil"/>
              <w:bottom w:val="nil"/>
              <w:right w:val="nil"/>
            </w:tcBorders>
          </w:tcPr>
          <w:p w:rsidR="0082243E" w:rsidRPr="00C66B91" w:rsidRDefault="0082243E" w:rsidP="000554E8">
            <w:pPr>
              <w:rPr>
                <w:lang w:val="en-GB"/>
              </w:rPr>
            </w:pPr>
            <w:r w:rsidRPr="00C66B91">
              <w:rPr>
                <w:sz w:val="22"/>
                <w:szCs w:val="22"/>
                <w:lang w:val="en-GB"/>
              </w:rPr>
              <w:t xml:space="preserve">                                         </w:t>
            </w:r>
            <w:r w:rsidRPr="00C66B91">
              <w:rPr>
                <w:color w:val="241E1C"/>
                <w:spacing w:val="-1"/>
                <w:sz w:val="22"/>
                <w:szCs w:val="22"/>
                <w:lang w:val="en-GB"/>
              </w:rPr>
              <w:t>Valery Mektupchiyan</w:t>
            </w:r>
          </w:p>
        </w:tc>
        <w:tc>
          <w:tcPr>
            <w:tcW w:w="4507" w:type="dxa"/>
            <w:tcBorders>
              <w:top w:val="nil"/>
              <w:left w:val="nil"/>
              <w:bottom w:val="nil"/>
              <w:right w:val="nil"/>
            </w:tcBorders>
          </w:tcPr>
          <w:p w:rsidR="0082243E" w:rsidRPr="00C66B91" w:rsidRDefault="0082243E" w:rsidP="000554E8">
            <w:pPr>
              <w:rPr>
                <w:lang w:val="en-GB"/>
              </w:rPr>
            </w:pPr>
            <w:r w:rsidRPr="00C66B91">
              <w:rPr>
                <w:sz w:val="22"/>
                <w:szCs w:val="22"/>
                <w:lang w:val="en-GB"/>
              </w:rPr>
              <w:t xml:space="preserve">                                         </w:t>
            </w:r>
            <w:r w:rsidRPr="00C66B91">
              <w:rPr>
                <w:color w:val="241E1C"/>
                <w:spacing w:val="-1"/>
                <w:sz w:val="22"/>
                <w:szCs w:val="22"/>
                <w:lang w:val="en-GB"/>
              </w:rPr>
              <w:t>Stefka Levidzhova</w:t>
            </w:r>
          </w:p>
        </w:tc>
      </w:tr>
    </w:tbl>
    <w:p w:rsidR="0082243E" w:rsidRPr="00C66B91" w:rsidRDefault="0082243E" w:rsidP="0082243E">
      <w:pPr>
        <w:pStyle w:val="TableofFiguresTotal"/>
        <w:tabs>
          <w:tab w:val="center" w:pos="4678"/>
        </w:tabs>
        <w:rPr>
          <w:caps/>
          <w:sz w:val="22"/>
          <w:szCs w:val="22"/>
        </w:rPr>
        <w:sectPr w:rsidR="0082243E" w:rsidRPr="00C66B91" w:rsidSect="00C46C22">
          <w:headerReference w:type="default" r:id="rId10"/>
          <w:type w:val="continuous"/>
          <w:pgSz w:w="11907" w:h="16840" w:code="9"/>
          <w:pgMar w:top="1411" w:right="1287" w:bottom="1080" w:left="1260" w:header="708" w:footer="708" w:gutter="0"/>
          <w:cols w:space="708"/>
          <w:noEndnote/>
          <w:titlePg/>
        </w:sectPr>
      </w:pPr>
    </w:p>
    <w:p w:rsidR="0082243E" w:rsidRPr="00C66B91" w:rsidRDefault="0082243E" w:rsidP="0082243E">
      <w:pPr>
        <w:pStyle w:val="TableofFiguresTotal"/>
        <w:tabs>
          <w:tab w:val="center" w:pos="4678"/>
        </w:tabs>
        <w:rPr>
          <w:b w:val="0"/>
          <w:color w:val="241E1C"/>
          <w:spacing w:val="-1"/>
          <w:sz w:val="22"/>
          <w:szCs w:val="22"/>
        </w:rPr>
      </w:pPr>
    </w:p>
    <w:p w:rsidR="0082243E" w:rsidRPr="00C66B91" w:rsidRDefault="0082243E" w:rsidP="0082243E">
      <w:pPr>
        <w:pStyle w:val="TableofFiguresTotal"/>
        <w:tabs>
          <w:tab w:val="center" w:pos="4678"/>
        </w:tabs>
        <w:rPr>
          <w:b w:val="0"/>
          <w:caps/>
          <w:sz w:val="22"/>
          <w:szCs w:val="22"/>
        </w:rPr>
      </w:pPr>
      <w:r w:rsidRPr="00C66B91">
        <w:rPr>
          <w:b w:val="0"/>
          <w:color w:val="241E1C"/>
          <w:spacing w:val="-1"/>
          <w:sz w:val="22"/>
          <w:szCs w:val="22"/>
        </w:rPr>
        <w:t>Date:</w:t>
      </w:r>
    </w:p>
    <w:p w:rsidR="00E922D1" w:rsidRPr="00C66B91" w:rsidRDefault="00E922D1" w:rsidP="00E922D1">
      <w:pPr>
        <w:pStyle w:val="TableofFiguresTotal"/>
        <w:tabs>
          <w:tab w:val="center" w:pos="4678"/>
        </w:tabs>
        <w:rPr>
          <w:caps/>
          <w:sz w:val="22"/>
          <w:szCs w:val="22"/>
        </w:rPr>
      </w:pPr>
    </w:p>
    <w:p w:rsidR="00E922D1" w:rsidRPr="00C66B91" w:rsidRDefault="00E922D1" w:rsidP="00E922D1">
      <w:pPr>
        <w:tabs>
          <w:tab w:val="left" w:pos="562"/>
          <w:tab w:val="left" w:pos="1004"/>
          <w:tab w:val="right" w:pos="5954"/>
          <w:tab w:val="right" w:pos="7371"/>
          <w:tab w:val="right" w:pos="8789"/>
        </w:tabs>
        <w:jc w:val="both"/>
        <w:rPr>
          <w:b/>
          <w:caps/>
          <w:sz w:val="22"/>
          <w:szCs w:val="22"/>
          <w:lang w:val="en-GB"/>
        </w:rPr>
      </w:pPr>
    </w:p>
    <w:p w:rsidR="00E922D1" w:rsidRPr="00C66B91" w:rsidRDefault="00E922D1" w:rsidP="00E922D1">
      <w:pPr>
        <w:tabs>
          <w:tab w:val="left" w:pos="562"/>
          <w:tab w:val="left" w:pos="1004"/>
          <w:tab w:val="right" w:pos="5954"/>
          <w:tab w:val="right" w:pos="7371"/>
          <w:tab w:val="right" w:pos="8789"/>
        </w:tabs>
        <w:jc w:val="both"/>
        <w:rPr>
          <w:b/>
          <w:caps/>
          <w:sz w:val="22"/>
          <w:szCs w:val="22"/>
          <w:lang w:val="en-GB"/>
        </w:rPr>
      </w:pPr>
    </w:p>
    <w:p w:rsidR="00E922D1" w:rsidRPr="00C66B91" w:rsidRDefault="00E922D1" w:rsidP="00E922D1">
      <w:pPr>
        <w:tabs>
          <w:tab w:val="left" w:pos="562"/>
          <w:tab w:val="left" w:pos="1004"/>
          <w:tab w:val="right" w:pos="5954"/>
          <w:tab w:val="right" w:pos="7371"/>
          <w:tab w:val="right" w:pos="8789"/>
        </w:tabs>
        <w:jc w:val="both"/>
        <w:rPr>
          <w:b/>
          <w:caps/>
          <w:sz w:val="22"/>
          <w:szCs w:val="22"/>
          <w:lang w:val="en-GB"/>
        </w:rPr>
      </w:pPr>
    </w:p>
    <w:p w:rsidR="00E922D1" w:rsidRPr="00C66B91" w:rsidRDefault="00E922D1" w:rsidP="00E922D1">
      <w:pPr>
        <w:tabs>
          <w:tab w:val="left" w:pos="562"/>
          <w:tab w:val="left" w:pos="1004"/>
          <w:tab w:val="right" w:pos="5954"/>
          <w:tab w:val="right" w:pos="7371"/>
          <w:tab w:val="right" w:pos="8789"/>
        </w:tabs>
        <w:jc w:val="both"/>
        <w:rPr>
          <w:b/>
          <w:caps/>
          <w:sz w:val="22"/>
          <w:szCs w:val="22"/>
          <w:lang w:val="en-GB"/>
        </w:rPr>
        <w:sectPr w:rsidR="00E922D1" w:rsidRPr="00C66B91" w:rsidSect="00C46C22">
          <w:headerReference w:type="default" r:id="rId11"/>
          <w:footerReference w:type="default" r:id="rId12"/>
          <w:type w:val="continuous"/>
          <w:pgSz w:w="11907" w:h="16840" w:code="9"/>
          <w:pgMar w:top="1411" w:right="1287" w:bottom="1080" w:left="1260" w:header="708" w:footer="708" w:gutter="0"/>
          <w:cols w:space="708"/>
          <w:noEndnote/>
          <w:titlePg/>
        </w:sectPr>
      </w:pPr>
    </w:p>
    <w:p w:rsidR="00E922D1" w:rsidRPr="00C66B91" w:rsidRDefault="00E922D1" w:rsidP="00E922D1">
      <w:pPr>
        <w:tabs>
          <w:tab w:val="left" w:pos="562"/>
          <w:tab w:val="left" w:pos="1004"/>
          <w:tab w:val="right" w:pos="5954"/>
          <w:tab w:val="right" w:pos="7371"/>
          <w:tab w:val="right" w:pos="8789"/>
        </w:tabs>
        <w:jc w:val="both"/>
        <w:rPr>
          <w:b/>
          <w:caps/>
          <w:sz w:val="22"/>
          <w:szCs w:val="22"/>
          <w:lang w:val="en-GB"/>
        </w:rPr>
      </w:pPr>
    </w:p>
    <w:p w:rsidR="00E922D1" w:rsidRPr="00C66B91" w:rsidRDefault="00E922D1" w:rsidP="0082243E">
      <w:pPr>
        <w:tabs>
          <w:tab w:val="left" w:pos="562"/>
          <w:tab w:val="left" w:pos="1004"/>
          <w:tab w:val="right" w:pos="5954"/>
          <w:tab w:val="right" w:pos="7371"/>
          <w:tab w:val="right" w:pos="8789"/>
        </w:tabs>
        <w:jc w:val="center"/>
        <w:rPr>
          <w:b/>
          <w:caps/>
          <w:sz w:val="22"/>
          <w:szCs w:val="22"/>
          <w:lang w:val="en-GB"/>
        </w:rPr>
      </w:pPr>
    </w:p>
    <w:p w:rsidR="00E922D1" w:rsidRPr="00C66B91" w:rsidRDefault="00E922D1" w:rsidP="00E922D1">
      <w:pPr>
        <w:tabs>
          <w:tab w:val="left" w:pos="562"/>
          <w:tab w:val="left" w:pos="1004"/>
          <w:tab w:val="right" w:pos="5954"/>
          <w:tab w:val="right" w:pos="7371"/>
          <w:tab w:val="right" w:pos="8789"/>
        </w:tabs>
        <w:jc w:val="both"/>
        <w:rPr>
          <w:b/>
          <w:caps/>
          <w:sz w:val="22"/>
          <w:szCs w:val="22"/>
          <w:lang w:val="en-GB"/>
        </w:rPr>
      </w:pPr>
    </w:p>
    <w:p w:rsidR="00E922D1" w:rsidRPr="00C66B91" w:rsidRDefault="00E922D1" w:rsidP="00E922D1">
      <w:pPr>
        <w:tabs>
          <w:tab w:val="left" w:pos="562"/>
          <w:tab w:val="left" w:pos="1004"/>
          <w:tab w:val="right" w:pos="5954"/>
          <w:tab w:val="right" w:pos="7371"/>
          <w:tab w:val="right" w:pos="8789"/>
        </w:tabs>
        <w:jc w:val="both"/>
        <w:rPr>
          <w:b/>
          <w:caps/>
          <w:sz w:val="22"/>
          <w:szCs w:val="22"/>
          <w:lang w:val="en-GB"/>
        </w:rPr>
      </w:pPr>
    </w:p>
    <w:p w:rsidR="00E922D1" w:rsidRPr="00C66B91" w:rsidRDefault="00E922D1" w:rsidP="00E922D1">
      <w:pPr>
        <w:tabs>
          <w:tab w:val="left" w:pos="562"/>
          <w:tab w:val="left" w:pos="1004"/>
          <w:tab w:val="right" w:pos="5954"/>
          <w:tab w:val="right" w:pos="7371"/>
          <w:tab w:val="right" w:pos="8789"/>
        </w:tabs>
        <w:jc w:val="both"/>
        <w:rPr>
          <w:b/>
          <w:caps/>
          <w:sz w:val="22"/>
          <w:szCs w:val="22"/>
          <w:lang w:val="en-GB"/>
        </w:rPr>
      </w:pPr>
    </w:p>
    <w:p w:rsidR="00E922D1" w:rsidRPr="00C66B91" w:rsidRDefault="00E922D1" w:rsidP="00E922D1">
      <w:pPr>
        <w:tabs>
          <w:tab w:val="left" w:pos="562"/>
          <w:tab w:val="left" w:pos="1004"/>
          <w:tab w:val="right" w:pos="5954"/>
          <w:tab w:val="right" w:pos="7371"/>
          <w:tab w:val="right" w:pos="8789"/>
        </w:tabs>
        <w:jc w:val="both"/>
        <w:rPr>
          <w:b/>
          <w:caps/>
          <w:sz w:val="22"/>
          <w:szCs w:val="22"/>
          <w:lang w:val="en-GB"/>
        </w:rPr>
      </w:pPr>
    </w:p>
    <w:p w:rsidR="00E922D1" w:rsidRPr="00C66B91" w:rsidRDefault="00E922D1" w:rsidP="00E922D1">
      <w:pPr>
        <w:tabs>
          <w:tab w:val="left" w:pos="562"/>
          <w:tab w:val="left" w:pos="1004"/>
          <w:tab w:val="right" w:pos="5954"/>
          <w:tab w:val="right" w:pos="7371"/>
          <w:tab w:val="right" w:pos="8789"/>
        </w:tabs>
        <w:jc w:val="both"/>
        <w:rPr>
          <w:b/>
          <w:caps/>
          <w:sz w:val="22"/>
          <w:szCs w:val="22"/>
          <w:lang w:val="en-GB"/>
        </w:rPr>
      </w:pPr>
    </w:p>
    <w:p w:rsidR="00E922D1" w:rsidRPr="00C66B91" w:rsidRDefault="00E922D1" w:rsidP="00E922D1">
      <w:pPr>
        <w:tabs>
          <w:tab w:val="left" w:pos="562"/>
          <w:tab w:val="left" w:pos="1004"/>
          <w:tab w:val="right" w:pos="5954"/>
          <w:tab w:val="right" w:pos="7371"/>
          <w:tab w:val="right" w:pos="8789"/>
        </w:tabs>
        <w:jc w:val="both"/>
        <w:rPr>
          <w:b/>
          <w:caps/>
          <w:sz w:val="22"/>
          <w:szCs w:val="22"/>
          <w:lang w:val="en-GB"/>
        </w:rPr>
      </w:pPr>
    </w:p>
    <w:tbl>
      <w:tblPr>
        <w:tblW w:w="4950" w:type="pct"/>
        <w:tblLook w:val="0000" w:firstRow="0" w:lastRow="0" w:firstColumn="0" w:lastColumn="0" w:noHBand="0" w:noVBand="0"/>
      </w:tblPr>
      <w:tblGrid>
        <w:gridCol w:w="5206"/>
        <w:gridCol w:w="1054"/>
        <w:gridCol w:w="1342"/>
        <w:gridCol w:w="1664"/>
      </w:tblGrid>
      <w:tr w:rsidR="00911666" w:rsidRPr="00C66B91" w:rsidTr="00911666">
        <w:trPr>
          <w:trHeight w:val="281"/>
        </w:trPr>
        <w:tc>
          <w:tcPr>
            <w:tcW w:w="2809" w:type="pct"/>
            <w:tcBorders>
              <w:top w:val="nil"/>
              <w:left w:val="nil"/>
              <w:bottom w:val="nil"/>
              <w:right w:val="nil"/>
            </w:tcBorders>
            <w:shd w:val="clear" w:color="auto" w:fill="auto"/>
            <w:vAlign w:val="center"/>
          </w:tcPr>
          <w:p w:rsidR="00911666" w:rsidRPr="00C66B91" w:rsidRDefault="00911666" w:rsidP="00911666">
            <w:pPr>
              <w:rPr>
                <w:sz w:val="20"/>
                <w:szCs w:val="20"/>
                <w:lang w:val="en-GB"/>
              </w:rPr>
            </w:pPr>
          </w:p>
        </w:tc>
        <w:tc>
          <w:tcPr>
            <w:tcW w:w="569" w:type="pct"/>
            <w:vMerge w:val="restart"/>
            <w:tcBorders>
              <w:top w:val="nil"/>
              <w:left w:val="nil"/>
              <w:bottom w:val="nil"/>
              <w:right w:val="nil"/>
            </w:tcBorders>
            <w:shd w:val="clear" w:color="auto" w:fill="auto"/>
            <w:vAlign w:val="center"/>
          </w:tcPr>
          <w:p w:rsidR="00911666" w:rsidRPr="00C66B91" w:rsidRDefault="0082243E" w:rsidP="00911666">
            <w:pPr>
              <w:jc w:val="center"/>
              <w:rPr>
                <w:i/>
                <w:iCs/>
                <w:color w:val="000000"/>
                <w:sz w:val="22"/>
                <w:szCs w:val="22"/>
                <w:lang w:val="en-GB"/>
              </w:rPr>
            </w:pPr>
            <w:r w:rsidRPr="00C66B91">
              <w:rPr>
                <w:i/>
                <w:iCs/>
                <w:color w:val="000000"/>
                <w:sz w:val="22"/>
                <w:szCs w:val="22"/>
                <w:lang w:val="en-GB"/>
              </w:rPr>
              <w:t>Notes</w:t>
            </w:r>
          </w:p>
        </w:tc>
        <w:tc>
          <w:tcPr>
            <w:tcW w:w="724" w:type="pct"/>
            <w:tcBorders>
              <w:top w:val="nil"/>
              <w:left w:val="nil"/>
              <w:bottom w:val="single" w:sz="8" w:space="0" w:color="auto"/>
              <w:right w:val="nil"/>
            </w:tcBorders>
            <w:shd w:val="clear" w:color="auto" w:fill="auto"/>
            <w:vAlign w:val="center"/>
          </w:tcPr>
          <w:p w:rsidR="00911666" w:rsidRPr="00C66B91" w:rsidRDefault="008A588E" w:rsidP="00911666">
            <w:pPr>
              <w:jc w:val="center"/>
              <w:rPr>
                <w:b/>
                <w:bCs/>
                <w:color w:val="000000"/>
                <w:sz w:val="22"/>
                <w:szCs w:val="22"/>
                <w:lang w:val="en-GB"/>
              </w:rPr>
            </w:pPr>
            <w:r w:rsidRPr="00C66B91">
              <w:rPr>
                <w:b/>
                <w:bCs/>
                <w:color w:val="000000"/>
                <w:sz w:val="22"/>
                <w:szCs w:val="22"/>
                <w:lang w:val="en-GB"/>
              </w:rPr>
              <w:t>30.06</w:t>
            </w:r>
            <w:r w:rsidR="00911666" w:rsidRPr="00C66B91">
              <w:rPr>
                <w:b/>
                <w:bCs/>
                <w:color w:val="000000"/>
                <w:sz w:val="22"/>
                <w:szCs w:val="22"/>
                <w:lang w:val="en-GB"/>
              </w:rPr>
              <w:t>.2015</w:t>
            </w:r>
          </w:p>
        </w:tc>
        <w:tc>
          <w:tcPr>
            <w:tcW w:w="898" w:type="pct"/>
            <w:tcBorders>
              <w:top w:val="nil"/>
              <w:left w:val="nil"/>
              <w:bottom w:val="single" w:sz="8" w:space="0" w:color="auto"/>
              <w:right w:val="nil"/>
            </w:tcBorders>
            <w:shd w:val="clear" w:color="auto" w:fill="auto"/>
            <w:vAlign w:val="center"/>
          </w:tcPr>
          <w:p w:rsidR="00911666" w:rsidRPr="00C66B91" w:rsidRDefault="008A588E" w:rsidP="00911666">
            <w:pPr>
              <w:jc w:val="center"/>
              <w:rPr>
                <w:b/>
                <w:bCs/>
                <w:color w:val="000000"/>
                <w:sz w:val="22"/>
                <w:szCs w:val="22"/>
                <w:lang w:val="en-GB"/>
              </w:rPr>
            </w:pPr>
            <w:r w:rsidRPr="00C66B91">
              <w:rPr>
                <w:b/>
                <w:bCs/>
                <w:color w:val="000000"/>
                <w:sz w:val="22"/>
                <w:szCs w:val="22"/>
                <w:lang w:val="en-GB"/>
              </w:rPr>
              <w:t>30.06</w:t>
            </w:r>
            <w:r w:rsidR="00911666" w:rsidRPr="00C66B91">
              <w:rPr>
                <w:b/>
                <w:bCs/>
                <w:color w:val="000000"/>
                <w:sz w:val="22"/>
                <w:szCs w:val="22"/>
                <w:lang w:val="en-GB"/>
              </w:rPr>
              <w:t>.2014</w:t>
            </w:r>
          </w:p>
        </w:tc>
      </w:tr>
      <w:tr w:rsidR="00911666" w:rsidRPr="00C66B91" w:rsidTr="00911666">
        <w:trPr>
          <w:trHeight w:val="281"/>
        </w:trPr>
        <w:tc>
          <w:tcPr>
            <w:tcW w:w="2809" w:type="pct"/>
            <w:tcBorders>
              <w:top w:val="nil"/>
              <w:left w:val="nil"/>
              <w:bottom w:val="nil"/>
              <w:right w:val="nil"/>
            </w:tcBorders>
            <w:shd w:val="clear" w:color="auto" w:fill="auto"/>
            <w:vAlign w:val="center"/>
          </w:tcPr>
          <w:p w:rsidR="00911666" w:rsidRPr="00C66B91" w:rsidRDefault="00911666" w:rsidP="00911666">
            <w:pPr>
              <w:rPr>
                <w:b/>
                <w:sz w:val="22"/>
                <w:szCs w:val="22"/>
                <w:lang w:val="en-GB"/>
              </w:rPr>
            </w:pPr>
          </w:p>
        </w:tc>
        <w:tc>
          <w:tcPr>
            <w:tcW w:w="569" w:type="pct"/>
            <w:vMerge/>
            <w:tcBorders>
              <w:top w:val="nil"/>
              <w:left w:val="nil"/>
              <w:bottom w:val="nil"/>
              <w:right w:val="nil"/>
            </w:tcBorders>
            <w:vAlign w:val="center"/>
          </w:tcPr>
          <w:p w:rsidR="00911666" w:rsidRPr="00C66B91" w:rsidRDefault="00911666" w:rsidP="00911666">
            <w:pPr>
              <w:jc w:val="center"/>
              <w:rPr>
                <w:i/>
                <w:sz w:val="22"/>
                <w:szCs w:val="22"/>
                <w:lang w:val="en-GB"/>
              </w:rPr>
            </w:pPr>
          </w:p>
        </w:tc>
        <w:tc>
          <w:tcPr>
            <w:tcW w:w="724" w:type="pct"/>
            <w:tcBorders>
              <w:top w:val="nil"/>
              <w:left w:val="nil"/>
              <w:bottom w:val="nil"/>
              <w:right w:val="nil"/>
            </w:tcBorders>
            <w:shd w:val="clear" w:color="auto" w:fill="auto"/>
            <w:vAlign w:val="center"/>
          </w:tcPr>
          <w:p w:rsidR="00911666" w:rsidRPr="00C66B91" w:rsidRDefault="00911666" w:rsidP="00911666">
            <w:pPr>
              <w:jc w:val="center"/>
              <w:rPr>
                <w:b/>
                <w:sz w:val="22"/>
                <w:szCs w:val="22"/>
                <w:lang w:val="en-GB"/>
              </w:rPr>
            </w:pPr>
            <w:r w:rsidRPr="00C66B91">
              <w:rPr>
                <w:b/>
                <w:bCs/>
                <w:color w:val="000000"/>
                <w:sz w:val="22"/>
                <w:szCs w:val="22"/>
                <w:lang w:val="en-GB"/>
              </w:rPr>
              <w:t>BGN’000</w:t>
            </w:r>
          </w:p>
        </w:tc>
        <w:tc>
          <w:tcPr>
            <w:tcW w:w="898" w:type="pct"/>
            <w:tcBorders>
              <w:top w:val="nil"/>
              <w:left w:val="nil"/>
              <w:bottom w:val="nil"/>
              <w:right w:val="nil"/>
            </w:tcBorders>
            <w:shd w:val="clear" w:color="auto" w:fill="auto"/>
            <w:vAlign w:val="center"/>
          </w:tcPr>
          <w:p w:rsidR="00911666" w:rsidRPr="00C66B91" w:rsidRDefault="00911666" w:rsidP="00911666">
            <w:pPr>
              <w:jc w:val="center"/>
              <w:rPr>
                <w:b/>
                <w:sz w:val="22"/>
                <w:szCs w:val="22"/>
                <w:lang w:val="en-GB"/>
              </w:rPr>
            </w:pPr>
            <w:r w:rsidRPr="00C66B91">
              <w:rPr>
                <w:b/>
                <w:bCs/>
                <w:color w:val="000000"/>
                <w:sz w:val="22"/>
                <w:szCs w:val="22"/>
                <w:lang w:val="en-GB"/>
              </w:rPr>
              <w:t>BGN’000</w:t>
            </w:r>
          </w:p>
        </w:tc>
      </w:tr>
      <w:tr w:rsidR="00911666" w:rsidRPr="00C66B91" w:rsidTr="00911666">
        <w:trPr>
          <w:trHeight w:val="227"/>
        </w:trPr>
        <w:tc>
          <w:tcPr>
            <w:tcW w:w="2809" w:type="pct"/>
            <w:tcBorders>
              <w:top w:val="nil"/>
              <w:left w:val="nil"/>
              <w:bottom w:val="nil"/>
              <w:right w:val="nil"/>
            </w:tcBorders>
            <w:shd w:val="clear" w:color="auto" w:fill="auto"/>
            <w:vAlign w:val="center"/>
          </w:tcPr>
          <w:p w:rsidR="00911666" w:rsidRPr="00C66B91" w:rsidRDefault="00911666" w:rsidP="00911666">
            <w:pPr>
              <w:jc w:val="center"/>
              <w:rPr>
                <w:b/>
                <w:bCs/>
                <w:color w:val="000000"/>
                <w:sz w:val="22"/>
                <w:szCs w:val="22"/>
                <w:lang w:val="en-GB"/>
              </w:rPr>
            </w:pPr>
          </w:p>
        </w:tc>
        <w:tc>
          <w:tcPr>
            <w:tcW w:w="569" w:type="pct"/>
            <w:tcBorders>
              <w:top w:val="nil"/>
              <w:left w:val="nil"/>
              <w:bottom w:val="nil"/>
              <w:right w:val="nil"/>
            </w:tcBorders>
            <w:shd w:val="clear" w:color="auto" w:fill="auto"/>
            <w:vAlign w:val="center"/>
          </w:tcPr>
          <w:p w:rsidR="00911666" w:rsidRPr="00C66B91" w:rsidRDefault="00911666" w:rsidP="00911666">
            <w:pPr>
              <w:rPr>
                <w:sz w:val="20"/>
                <w:szCs w:val="20"/>
                <w:lang w:val="en-GB"/>
              </w:rPr>
            </w:pPr>
          </w:p>
        </w:tc>
        <w:tc>
          <w:tcPr>
            <w:tcW w:w="724" w:type="pct"/>
            <w:tcBorders>
              <w:top w:val="nil"/>
              <w:left w:val="nil"/>
              <w:bottom w:val="nil"/>
              <w:right w:val="nil"/>
            </w:tcBorders>
            <w:shd w:val="clear" w:color="auto" w:fill="auto"/>
            <w:vAlign w:val="center"/>
          </w:tcPr>
          <w:p w:rsidR="00911666" w:rsidRPr="00C66B91" w:rsidRDefault="00911666" w:rsidP="00911666">
            <w:pPr>
              <w:rPr>
                <w:sz w:val="20"/>
                <w:szCs w:val="20"/>
                <w:lang w:val="en-GB"/>
              </w:rPr>
            </w:pPr>
          </w:p>
        </w:tc>
        <w:tc>
          <w:tcPr>
            <w:tcW w:w="898" w:type="pct"/>
            <w:tcBorders>
              <w:top w:val="nil"/>
              <w:left w:val="nil"/>
              <w:bottom w:val="nil"/>
              <w:right w:val="nil"/>
            </w:tcBorders>
            <w:shd w:val="clear" w:color="auto" w:fill="auto"/>
            <w:vAlign w:val="center"/>
          </w:tcPr>
          <w:p w:rsidR="00911666" w:rsidRPr="00C66B91" w:rsidRDefault="00911666" w:rsidP="00911666">
            <w:pPr>
              <w:jc w:val="right"/>
              <w:rPr>
                <w:sz w:val="20"/>
                <w:szCs w:val="20"/>
                <w:lang w:val="en-GB"/>
              </w:rPr>
            </w:pP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r w:rsidRPr="00C66B91">
              <w:rPr>
                <w:b/>
                <w:bCs/>
                <w:color w:val="000000"/>
                <w:sz w:val="22"/>
                <w:szCs w:val="22"/>
                <w:lang w:val="en-GB"/>
              </w:rPr>
              <w:t>Revenues</w:t>
            </w:r>
          </w:p>
        </w:tc>
        <w:tc>
          <w:tcPr>
            <w:tcW w:w="56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p>
        </w:tc>
        <w:tc>
          <w:tcPr>
            <w:tcW w:w="724" w:type="pct"/>
            <w:tcBorders>
              <w:top w:val="nil"/>
              <w:left w:val="nil"/>
              <w:bottom w:val="nil"/>
              <w:right w:val="nil"/>
            </w:tcBorders>
            <w:shd w:val="clear" w:color="auto" w:fill="auto"/>
            <w:vAlign w:val="center"/>
          </w:tcPr>
          <w:p w:rsidR="0082243E" w:rsidRPr="00C66B91" w:rsidRDefault="0082243E" w:rsidP="0082243E">
            <w:pPr>
              <w:rPr>
                <w:sz w:val="20"/>
                <w:szCs w:val="20"/>
                <w:lang w:val="en-GB"/>
              </w:rPr>
            </w:pPr>
          </w:p>
        </w:tc>
        <w:tc>
          <w:tcPr>
            <w:tcW w:w="898" w:type="pct"/>
            <w:tcBorders>
              <w:top w:val="nil"/>
              <w:left w:val="nil"/>
              <w:bottom w:val="nil"/>
              <w:right w:val="nil"/>
            </w:tcBorders>
            <w:shd w:val="clear" w:color="auto" w:fill="auto"/>
            <w:vAlign w:val="center"/>
          </w:tcPr>
          <w:p w:rsidR="0082243E" w:rsidRPr="00C66B91" w:rsidRDefault="0082243E" w:rsidP="0082243E">
            <w:pPr>
              <w:jc w:val="right"/>
              <w:rPr>
                <w:sz w:val="20"/>
                <w:szCs w:val="20"/>
                <w:lang w:val="en-GB"/>
              </w:rPr>
            </w:pP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color w:val="000000"/>
                <w:sz w:val="22"/>
                <w:szCs w:val="22"/>
                <w:lang w:val="en-GB"/>
              </w:rPr>
            </w:pPr>
            <w:r w:rsidRPr="00C66B91">
              <w:rPr>
                <w:color w:val="000000"/>
                <w:sz w:val="22"/>
                <w:szCs w:val="22"/>
                <w:lang w:val="en-GB"/>
              </w:rPr>
              <w:t>Core revenues</w:t>
            </w:r>
          </w:p>
        </w:tc>
        <w:tc>
          <w:tcPr>
            <w:tcW w:w="569" w:type="pct"/>
            <w:tcBorders>
              <w:top w:val="nil"/>
              <w:left w:val="nil"/>
              <w:bottom w:val="nil"/>
              <w:right w:val="nil"/>
            </w:tcBorders>
            <w:shd w:val="clear" w:color="auto" w:fill="auto"/>
            <w:vAlign w:val="center"/>
          </w:tcPr>
          <w:p w:rsidR="0082243E" w:rsidRPr="00C66B91" w:rsidRDefault="0082243E" w:rsidP="0082243E">
            <w:pPr>
              <w:jc w:val="center"/>
              <w:rPr>
                <w:color w:val="000000"/>
                <w:sz w:val="22"/>
                <w:szCs w:val="22"/>
                <w:lang w:val="en-GB"/>
              </w:rPr>
            </w:pPr>
            <w:r w:rsidRPr="00C66B91">
              <w:rPr>
                <w:color w:val="000000"/>
                <w:sz w:val="22"/>
                <w:szCs w:val="22"/>
                <w:lang w:val="en-GB"/>
              </w:rPr>
              <w:t>13</w:t>
            </w:r>
          </w:p>
        </w:tc>
        <w:tc>
          <w:tcPr>
            <w:tcW w:w="724"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54,410</w:t>
            </w:r>
          </w:p>
        </w:tc>
        <w:tc>
          <w:tcPr>
            <w:tcW w:w="898"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33,529</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color w:val="000000"/>
                <w:sz w:val="22"/>
                <w:szCs w:val="22"/>
                <w:lang w:val="en-GB"/>
              </w:rPr>
            </w:pPr>
            <w:r w:rsidRPr="00C66B91">
              <w:rPr>
                <w:color w:val="000000"/>
                <w:sz w:val="22"/>
                <w:szCs w:val="22"/>
                <w:lang w:val="en-GB"/>
              </w:rPr>
              <w:t>Other revenues</w:t>
            </w:r>
          </w:p>
        </w:tc>
        <w:tc>
          <w:tcPr>
            <w:tcW w:w="569" w:type="pct"/>
            <w:tcBorders>
              <w:top w:val="nil"/>
              <w:left w:val="nil"/>
              <w:bottom w:val="nil"/>
              <w:right w:val="nil"/>
            </w:tcBorders>
            <w:shd w:val="clear" w:color="auto" w:fill="auto"/>
            <w:vAlign w:val="center"/>
          </w:tcPr>
          <w:p w:rsidR="0082243E" w:rsidRPr="00C66B91" w:rsidRDefault="0082243E" w:rsidP="0082243E">
            <w:pPr>
              <w:jc w:val="center"/>
              <w:rPr>
                <w:color w:val="000000"/>
                <w:sz w:val="22"/>
                <w:szCs w:val="22"/>
                <w:lang w:val="en-GB"/>
              </w:rPr>
            </w:pPr>
            <w:r w:rsidRPr="00C66B91">
              <w:rPr>
                <w:color w:val="000000"/>
                <w:sz w:val="22"/>
                <w:szCs w:val="22"/>
                <w:lang w:val="en-GB"/>
              </w:rPr>
              <w:t>14</w:t>
            </w:r>
          </w:p>
        </w:tc>
        <w:tc>
          <w:tcPr>
            <w:tcW w:w="724" w:type="pct"/>
            <w:tcBorders>
              <w:top w:val="nil"/>
              <w:left w:val="nil"/>
              <w:bottom w:val="single" w:sz="8" w:space="0" w:color="auto"/>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2,307</w:t>
            </w:r>
          </w:p>
        </w:tc>
        <w:tc>
          <w:tcPr>
            <w:tcW w:w="898" w:type="pct"/>
            <w:tcBorders>
              <w:top w:val="nil"/>
              <w:left w:val="nil"/>
              <w:bottom w:val="single" w:sz="8" w:space="0" w:color="auto"/>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1,214</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r w:rsidRPr="00C66B91">
              <w:rPr>
                <w:b/>
                <w:bCs/>
                <w:color w:val="000000"/>
                <w:sz w:val="22"/>
                <w:szCs w:val="22"/>
                <w:lang w:val="en-GB"/>
              </w:rPr>
              <w:t>Total revenues</w:t>
            </w:r>
          </w:p>
        </w:tc>
        <w:tc>
          <w:tcPr>
            <w:tcW w:w="56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p>
        </w:tc>
        <w:tc>
          <w:tcPr>
            <w:tcW w:w="724" w:type="pct"/>
            <w:tcBorders>
              <w:top w:val="nil"/>
              <w:left w:val="nil"/>
              <w:bottom w:val="nil"/>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56,717</w:t>
            </w:r>
          </w:p>
        </w:tc>
        <w:tc>
          <w:tcPr>
            <w:tcW w:w="898" w:type="pct"/>
            <w:tcBorders>
              <w:top w:val="nil"/>
              <w:left w:val="nil"/>
              <w:bottom w:val="nil"/>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34,743</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jc w:val="right"/>
              <w:rPr>
                <w:b/>
                <w:bCs/>
                <w:color w:val="000000"/>
                <w:sz w:val="22"/>
                <w:szCs w:val="22"/>
                <w:lang w:val="en-GB"/>
              </w:rPr>
            </w:pPr>
          </w:p>
        </w:tc>
        <w:tc>
          <w:tcPr>
            <w:tcW w:w="569" w:type="pct"/>
            <w:tcBorders>
              <w:top w:val="nil"/>
              <w:left w:val="nil"/>
              <w:bottom w:val="nil"/>
              <w:right w:val="nil"/>
            </w:tcBorders>
            <w:shd w:val="clear" w:color="auto" w:fill="auto"/>
            <w:vAlign w:val="center"/>
          </w:tcPr>
          <w:p w:rsidR="0082243E" w:rsidRPr="00C66B91" w:rsidRDefault="0082243E" w:rsidP="0082243E">
            <w:pPr>
              <w:rPr>
                <w:sz w:val="20"/>
                <w:szCs w:val="20"/>
                <w:lang w:val="en-GB"/>
              </w:rPr>
            </w:pPr>
          </w:p>
        </w:tc>
        <w:tc>
          <w:tcPr>
            <w:tcW w:w="724" w:type="pct"/>
            <w:tcBorders>
              <w:top w:val="nil"/>
              <w:left w:val="nil"/>
              <w:bottom w:val="nil"/>
              <w:right w:val="nil"/>
            </w:tcBorders>
            <w:shd w:val="clear" w:color="auto" w:fill="auto"/>
            <w:vAlign w:val="center"/>
          </w:tcPr>
          <w:p w:rsidR="0082243E" w:rsidRPr="00C66B91" w:rsidRDefault="0082243E" w:rsidP="0082243E">
            <w:pPr>
              <w:jc w:val="center"/>
              <w:rPr>
                <w:sz w:val="20"/>
                <w:szCs w:val="20"/>
                <w:lang w:val="en-GB"/>
              </w:rPr>
            </w:pPr>
          </w:p>
        </w:tc>
        <w:tc>
          <w:tcPr>
            <w:tcW w:w="898" w:type="pct"/>
            <w:tcBorders>
              <w:top w:val="nil"/>
              <w:left w:val="nil"/>
              <w:bottom w:val="nil"/>
              <w:right w:val="nil"/>
            </w:tcBorders>
            <w:shd w:val="clear" w:color="auto" w:fill="auto"/>
            <w:vAlign w:val="center"/>
          </w:tcPr>
          <w:p w:rsidR="0082243E" w:rsidRPr="00C66B91" w:rsidRDefault="0082243E" w:rsidP="0082243E">
            <w:pPr>
              <w:jc w:val="right"/>
              <w:rPr>
                <w:sz w:val="20"/>
                <w:szCs w:val="20"/>
                <w:lang w:val="en-GB"/>
              </w:rPr>
            </w:pP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color w:val="000000"/>
                <w:sz w:val="22"/>
                <w:szCs w:val="22"/>
                <w:lang w:val="en-GB"/>
              </w:rPr>
            </w:pPr>
            <w:r w:rsidRPr="00C66B91">
              <w:rPr>
                <w:color w:val="000000"/>
                <w:sz w:val="22"/>
                <w:szCs w:val="22"/>
                <w:lang w:val="en-GB"/>
              </w:rPr>
              <w:t>Costs of materials</w:t>
            </w:r>
          </w:p>
        </w:tc>
        <w:tc>
          <w:tcPr>
            <w:tcW w:w="569" w:type="pct"/>
            <w:tcBorders>
              <w:top w:val="nil"/>
              <w:left w:val="nil"/>
              <w:bottom w:val="nil"/>
              <w:right w:val="nil"/>
            </w:tcBorders>
            <w:shd w:val="clear" w:color="auto" w:fill="auto"/>
            <w:vAlign w:val="center"/>
          </w:tcPr>
          <w:p w:rsidR="0082243E" w:rsidRPr="00C66B91" w:rsidRDefault="0082243E" w:rsidP="0082243E">
            <w:pPr>
              <w:jc w:val="center"/>
              <w:rPr>
                <w:color w:val="000000"/>
                <w:sz w:val="22"/>
                <w:szCs w:val="22"/>
                <w:lang w:val="en-GB"/>
              </w:rPr>
            </w:pPr>
            <w:r w:rsidRPr="00C66B91">
              <w:rPr>
                <w:color w:val="000000"/>
                <w:sz w:val="22"/>
                <w:szCs w:val="22"/>
                <w:lang w:val="en-GB"/>
              </w:rPr>
              <w:t>15</w:t>
            </w:r>
          </w:p>
        </w:tc>
        <w:tc>
          <w:tcPr>
            <w:tcW w:w="724"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-3,413</w:t>
            </w:r>
          </w:p>
        </w:tc>
        <w:tc>
          <w:tcPr>
            <w:tcW w:w="898"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-3,315</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color w:val="000000"/>
                <w:sz w:val="22"/>
                <w:szCs w:val="22"/>
                <w:lang w:val="en-GB"/>
              </w:rPr>
            </w:pPr>
            <w:r w:rsidRPr="00C66B91">
              <w:rPr>
                <w:color w:val="000000"/>
                <w:sz w:val="22"/>
                <w:szCs w:val="22"/>
                <w:lang w:val="en-GB"/>
              </w:rPr>
              <w:t>Costs of external services</w:t>
            </w:r>
          </w:p>
        </w:tc>
        <w:tc>
          <w:tcPr>
            <w:tcW w:w="569" w:type="pct"/>
            <w:tcBorders>
              <w:top w:val="nil"/>
              <w:left w:val="nil"/>
              <w:bottom w:val="nil"/>
              <w:right w:val="nil"/>
            </w:tcBorders>
            <w:shd w:val="clear" w:color="auto" w:fill="auto"/>
            <w:vAlign w:val="center"/>
          </w:tcPr>
          <w:p w:rsidR="0082243E" w:rsidRPr="00C66B91" w:rsidRDefault="0082243E" w:rsidP="0082243E">
            <w:pPr>
              <w:jc w:val="center"/>
              <w:rPr>
                <w:color w:val="000000"/>
                <w:sz w:val="22"/>
                <w:szCs w:val="22"/>
                <w:lang w:val="en-GB"/>
              </w:rPr>
            </w:pPr>
            <w:r w:rsidRPr="00C66B91">
              <w:rPr>
                <w:color w:val="000000"/>
                <w:sz w:val="22"/>
                <w:szCs w:val="22"/>
                <w:lang w:val="en-GB"/>
              </w:rPr>
              <w:t>16</w:t>
            </w:r>
          </w:p>
        </w:tc>
        <w:tc>
          <w:tcPr>
            <w:tcW w:w="724"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-31,693</w:t>
            </w:r>
          </w:p>
        </w:tc>
        <w:tc>
          <w:tcPr>
            <w:tcW w:w="898"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-15,858</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color w:val="000000"/>
                <w:sz w:val="22"/>
                <w:szCs w:val="22"/>
                <w:lang w:val="en-GB"/>
              </w:rPr>
            </w:pPr>
            <w:r w:rsidRPr="00C66B91">
              <w:rPr>
                <w:color w:val="000000"/>
                <w:sz w:val="22"/>
                <w:szCs w:val="22"/>
                <w:lang w:val="en-GB"/>
              </w:rPr>
              <w:t>Compensation costs</w:t>
            </w:r>
          </w:p>
        </w:tc>
        <w:tc>
          <w:tcPr>
            <w:tcW w:w="569" w:type="pct"/>
            <w:tcBorders>
              <w:top w:val="nil"/>
              <w:left w:val="nil"/>
              <w:bottom w:val="nil"/>
              <w:right w:val="nil"/>
            </w:tcBorders>
            <w:shd w:val="clear" w:color="auto" w:fill="auto"/>
            <w:vAlign w:val="center"/>
          </w:tcPr>
          <w:p w:rsidR="0082243E" w:rsidRPr="00C66B91" w:rsidRDefault="0082243E" w:rsidP="0082243E">
            <w:pPr>
              <w:jc w:val="center"/>
              <w:rPr>
                <w:color w:val="000000"/>
                <w:sz w:val="22"/>
                <w:szCs w:val="22"/>
                <w:lang w:val="en-GB"/>
              </w:rPr>
            </w:pPr>
            <w:r w:rsidRPr="00C66B91">
              <w:rPr>
                <w:color w:val="000000"/>
                <w:sz w:val="22"/>
                <w:szCs w:val="22"/>
                <w:lang w:val="en-GB"/>
              </w:rPr>
              <w:t>17</w:t>
            </w:r>
          </w:p>
        </w:tc>
        <w:tc>
          <w:tcPr>
            <w:tcW w:w="724"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-10,757</w:t>
            </w:r>
          </w:p>
        </w:tc>
        <w:tc>
          <w:tcPr>
            <w:tcW w:w="898"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-8,248</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color w:val="000000"/>
                <w:sz w:val="22"/>
                <w:szCs w:val="22"/>
                <w:lang w:val="en-GB"/>
              </w:rPr>
            </w:pPr>
            <w:r w:rsidRPr="00C66B91">
              <w:rPr>
                <w:color w:val="000000"/>
                <w:sz w:val="22"/>
                <w:szCs w:val="22"/>
                <w:lang w:val="en-GB"/>
              </w:rPr>
              <w:t xml:space="preserve">Depreciation and amortization </w:t>
            </w:r>
          </w:p>
        </w:tc>
        <w:tc>
          <w:tcPr>
            <w:tcW w:w="569" w:type="pct"/>
            <w:tcBorders>
              <w:top w:val="nil"/>
              <w:left w:val="nil"/>
              <w:bottom w:val="nil"/>
              <w:right w:val="nil"/>
            </w:tcBorders>
            <w:shd w:val="clear" w:color="auto" w:fill="auto"/>
            <w:vAlign w:val="center"/>
          </w:tcPr>
          <w:p w:rsidR="0082243E" w:rsidRPr="00C66B91" w:rsidRDefault="0082243E" w:rsidP="0082243E">
            <w:pPr>
              <w:jc w:val="center"/>
              <w:rPr>
                <w:color w:val="000000"/>
                <w:sz w:val="22"/>
                <w:szCs w:val="22"/>
                <w:lang w:val="en-GB"/>
              </w:rPr>
            </w:pPr>
            <w:r w:rsidRPr="00C66B91">
              <w:rPr>
                <w:color w:val="000000"/>
                <w:sz w:val="22"/>
                <w:szCs w:val="22"/>
                <w:lang w:val="en-GB"/>
              </w:rPr>
              <w:t>3, 4</w:t>
            </w:r>
          </w:p>
        </w:tc>
        <w:tc>
          <w:tcPr>
            <w:tcW w:w="724"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-4,229</w:t>
            </w:r>
          </w:p>
        </w:tc>
        <w:tc>
          <w:tcPr>
            <w:tcW w:w="898"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-2,272</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color w:val="000000"/>
                <w:sz w:val="22"/>
                <w:szCs w:val="22"/>
                <w:lang w:val="en-GB"/>
              </w:rPr>
            </w:pPr>
            <w:r w:rsidRPr="00C66B91">
              <w:rPr>
                <w:color w:val="000000"/>
                <w:sz w:val="22"/>
                <w:szCs w:val="22"/>
                <w:lang w:val="en-GB"/>
              </w:rPr>
              <w:t>Other operating expenses</w:t>
            </w:r>
          </w:p>
        </w:tc>
        <w:tc>
          <w:tcPr>
            <w:tcW w:w="569" w:type="pct"/>
            <w:tcBorders>
              <w:top w:val="nil"/>
              <w:left w:val="nil"/>
              <w:bottom w:val="nil"/>
              <w:right w:val="nil"/>
            </w:tcBorders>
            <w:shd w:val="clear" w:color="auto" w:fill="auto"/>
            <w:vAlign w:val="center"/>
          </w:tcPr>
          <w:p w:rsidR="0082243E" w:rsidRPr="00C66B91" w:rsidRDefault="0082243E" w:rsidP="0082243E">
            <w:pPr>
              <w:jc w:val="center"/>
              <w:rPr>
                <w:color w:val="000000"/>
                <w:sz w:val="22"/>
                <w:szCs w:val="22"/>
                <w:lang w:val="en-GB"/>
              </w:rPr>
            </w:pPr>
            <w:r w:rsidRPr="00C66B91">
              <w:rPr>
                <w:color w:val="000000"/>
                <w:sz w:val="22"/>
                <w:szCs w:val="22"/>
                <w:lang w:val="en-GB"/>
              </w:rPr>
              <w:t>18</w:t>
            </w:r>
          </w:p>
        </w:tc>
        <w:tc>
          <w:tcPr>
            <w:tcW w:w="724" w:type="pct"/>
            <w:tcBorders>
              <w:top w:val="nil"/>
              <w:left w:val="nil"/>
              <w:bottom w:val="single" w:sz="8" w:space="0" w:color="auto"/>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-588</w:t>
            </w:r>
          </w:p>
        </w:tc>
        <w:tc>
          <w:tcPr>
            <w:tcW w:w="898" w:type="pct"/>
            <w:tcBorders>
              <w:top w:val="nil"/>
              <w:left w:val="nil"/>
              <w:bottom w:val="single" w:sz="8" w:space="0" w:color="auto"/>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-436</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r w:rsidRPr="00C66B91">
              <w:rPr>
                <w:b/>
                <w:bCs/>
                <w:color w:val="000000"/>
                <w:sz w:val="22"/>
                <w:szCs w:val="22"/>
                <w:lang w:val="en-GB"/>
              </w:rPr>
              <w:t>Total operating expenses</w:t>
            </w:r>
          </w:p>
        </w:tc>
        <w:tc>
          <w:tcPr>
            <w:tcW w:w="56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p>
        </w:tc>
        <w:tc>
          <w:tcPr>
            <w:tcW w:w="724" w:type="pct"/>
            <w:tcBorders>
              <w:top w:val="nil"/>
              <w:left w:val="nil"/>
              <w:bottom w:val="nil"/>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-50,680</w:t>
            </w:r>
          </w:p>
        </w:tc>
        <w:tc>
          <w:tcPr>
            <w:tcW w:w="898" w:type="pct"/>
            <w:tcBorders>
              <w:top w:val="nil"/>
              <w:left w:val="nil"/>
              <w:bottom w:val="nil"/>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-30,129</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jc w:val="center"/>
              <w:rPr>
                <w:b/>
                <w:bCs/>
                <w:color w:val="000000"/>
                <w:sz w:val="22"/>
                <w:szCs w:val="22"/>
                <w:lang w:val="en-GB"/>
              </w:rPr>
            </w:pPr>
          </w:p>
        </w:tc>
        <w:tc>
          <w:tcPr>
            <w:tcW w:w="569" w:type="pct"/>
            <w:tcBorders>
              <w:top w:val="nil"/>
              <w:left w:val="nil"/>
              <w:bottom w:val="nil"/>
              <w:right w:val="nil"/>
            </w:tcBorders>
            <w:shd w:val="clear" w:color="auto" w:fill="auto"/>
            <w:vAlign w:val="center"/>
          </w:tcPr>
          <w:p w:rsidR="0082243E" w:rsidRPr="00C66B91" w:rsidRDefault="0082243E" w:rsidP="0082243E">
            <w:pPr>
              <w:rPr>
                <w:sz w:val="20"/>
                <w:szCs w:val="20"/>
                <w:lang w:val="en-GB"/>
              </w:rPr>
            </w:pPr>
          </w:p>
        </w:tc>
        <w:tc>
          <w:tcPr>
            <w:tcW w:w="724" w:type="pct"/>
            <w:tcBorders>
              <w:top w:val="nil"/>
              <w:left w:val="nil"/>
              <w:bottom w:val="single" w:sz="8" w:space="0" w:color="auto"/>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 </w:t>
            </w:r>
          </w:p>
        </w:tc>
        <w:tc>
          <w:tcPr>
            <w:tcW w:w="898" w:type="pct"/>
            <w:tcBorders>
              <w:top w:val="nil"/>
              <w:left w:val="nil"/>
              <w:bottom w:val="single" w:sz="8" w:space="0" w:color="auto"/>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 </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r w:rsidRPr="00C66B91">
              <w:rPr>
                <w:b/>
                <w:bCs/>
                <w:color w:val="000000"/>
                <w:sz w:val="22"/>
                <w:szCs w:val="22"/>
                <w:lang w:val="en-GB"/>
              </w:rPr>
              <w:t>Operating profit</w:t>
            </w:r>
          </w:p>
        </w:tc>
        <w:tc>
          <w:tcPr>
            <w:tcW w:w="56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p>
        </w:tc>
        <w:tc>
          <w:tcPr>
            <w:tcW w:w="724" w:type="pct"/>
            <w:tcBorders>
              <w:top w:val="nil"/>
              <w:left w:val="nil"/>
              <w:bottom w:val="single" w:sz="8" w:space="0" w:color="auto"/>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6,037</w:t>
            </w:r>
          </w:p>
        </w:tc>
        <w:tc>
          <w:tcPr>
            <w:tcW w:w="898" w:type="pct"/>
            <w:tcBorders>
              <w:top w:val="nil"/>
              <w:left w:val="nil"/>
              <w:bottom w:val="single" w:sz="8" w:space="0" w:color="auto"/>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4,614</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jc w:val="right"/>
              <w:rPr>
                <w:b/>
                <w:bCs/>
                <w:color w:val="000000"/>
                <w:sz w:val="22"/>
                <w:szCs w:val="22"/>
                <w:lang w:val="en-GB"/>
              </w:rPr>
            </w:pPr>
          </w:p>
        </w:tc>
        <w:tc>
          <w:tcPr>
            <w:tcW w:w="569" w:type="pct"/>
            <w:tcBorders>
              <w:top w:val="nil"/>
              <w:left w:val="nil"/>
              <w:bottom w:val="nil"/>
              <w:right w:val="nil"/>
            </w:tcBorders>
            <w:shd w:val="clear" w:color="auto" w:fill="auto"/>
            <w:vAlign w:val="center"/>
          </w:tcPr>
          <w:p w:rsidR="0082243E" w:rsidRPr="00C66B91" w:rsidRDefault="0082243E" w:rsidP="0082243E">
            <w:pPr>
              <w:rPr>
                <w:sz w:val="20"/>
                <w:szCs w:val="20"/>
                <w:lang w:val="en-GB"/>
              </w:rPr>
            </w:pPr>
          </w:p>
        </w:tc>
        <w:tc>
          <w:tcPr>
            <w:tcW w:w="724" w:type="pct"/>
            <w:tcBorders>
              <w:top w:val="nil"/>
              <w:left w:val="nil"/>
              <w:bottom w:val="nil"/>
              <w:right w:val="nil"/>
            </w:tcBorders>
            <w:shd w:val="clear" w:color="auto" w:fill="auto"/>
            <w:vAlign w:val="center"/>
          </w:tcPr>
          <w:p w:rsidR="0082243E" w:rsidRPr="00C66B91" w:rsidRDefault="0082243E" w:rsidP="0082243E">
            <w:pPr>
              <w:jc w:val="center"/>
              <w:rPr>
                <w:sz w:val="20"/>
                <w:szCs w:val="20"/>
                <w:lang w:val="en-GB"/>
              </w:rPr>
            </w:pPr>
          </w:p>
        </w:tc>
        <w:tc>
          <w:tcPr>
            <w:tcW w:w="898" w:type="pct"/>
            <w:tcBorders>
              <w:top w:val="nil"/>
              <w:left w:val="nil"/>
              <w:bottom w:val="nil"/>
              <w:right w:val="nil"/>
            </w:tcBorders>
            <w:shd w:val="clear" w:color="auto" w:fill="auto"/>
            <w:vAlign w:val="center"/>
          </w:tcPr>
          <w:p w:rsidR="0082243E" w:rsidRPr="00C66B91" w:rsidRDefault="0082243E" w:rsidP="0082243E">
            <w:pPr>
              <w:jc w:val="right"/>
              <w:rPr>
                <w:sz w:val="20"/>
                <w:szCs w:val="20"/>
                <w:lang w:val="en-GB"/>
              </w:rPr>
            </w:pP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color w:val="000000"/>
                <w:sz w:val="22"/>
                <w:szCs w:val="22"/>
                <w:lang w:val="en-GB"/>
              </w:rPr>
            </w:pPr>
            <w:r w:rsidRPr="00C66B91">
              <w:rPr>
                <w:color w:val="000000"/>
                <w:sz w:val="22"/>
                <w:szCs w:val="22"/>
                <w:lang w:val="en-GB"/>
              </w:rPr>
              <w:t>Financial revenues</w:t>
            </w:r>
          </w:p>
        </w:tc>
        <w:tc>
          <w:tcPr>
            <w:tcW w:w="569" w:type="pct"/>
            <w:tcBorders>
              <w:top w:val="nil"/>
              <w:left w:val="nil"/>
              <w:bottom w:val="nil"/>
              <w:right w:val="nil"/>
            </w:tcBorders>
            <w:shd w:val="clear" w:color="auto" w:fill="auto"/>
            <w:vAlign w:val="center"/>
          </w:tcPr>
          <w:p w:rsidR="0082243E" w:rsidRPr="00C66B91" w:rsidRDefault="0082243E" w:rsidP="0082243E">
            <w:pPr>
              <w:jc w:val="center"/>
              <w:rPr>
                <w:color w:val="000000"/>
                <w:sz w:val="22"/>
                <w:szCs w:val="22"/>
                <w:lang w:val="en-GB"/>
              </w:rPr>
            </w:pPr>
            <w:r w:rsidRPr="00C66B91">
              <w:rPr>
                <w:color w:val="000000"/>
                <w:sz w:val="22"/>
                <w:szCs w:val="22"/>
                <w:lang w:val="en-GB"/>
              </w:rPr>
              <w:t>19</w:t>
            </w:r>
          </w:p>
        </w:tc>
        <w:tc>
          <w:tcPr>
            <w:tcW w:w="724"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301</w:t>
            </w:r>
          </w:p>
        </w:tc>
        <w:tc>
          <w:tcPr>
            <w:tcW w:w="898"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156</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color w:val="000000"/>
                <w:sz w:val="22"/>
                <w:szCs w:val="22"/>
                <w:lang w:val="en-GB"/>
              </w:rPr>
            </w:pPr>
            <w:r w:rsidRPr="00C66B91">
              <w:rPr>
                <w:color w:val="000000"/>
                <w:sz w:val="22"/>
                <w:szCs w:val="22"/>
                <w:lang w:val="en-GB"/>
              </w:rPr>
              <w:t>Financial costs</w:t>
            </w:r>
          </w:p>
        </w:tc>
        <w:tc>
          <w:tcPr>
            <w:tcW w:w="569" w:type="pct"/>
            <w:tcBorders>
              <w:top w:val="nil"/>
              <w:left w:val="nil"/>
              <w:bottom w:val="nil"/>
              <w:right w:val="nil"/>
            </w:tcBorders>
            <w:shd w:val="clear" w:color="auto" w:fill="auto"/>
            <w:vAlign w:val="center"/>
          </w:tcPr>
          <w:p w:rsidR="0082243E" w:rsidRPr="00C66B91" w:rsidRDefault="0082243E" w:rsidP="0082243E">
            <w:pPr>
              <w:jc w:val="center"/>
              <w:rPr>
                <w:color w:val="000000"/>
                <w:sz w:val="22"/>
                <w:szCs w:val="22"/>
                <w:lang w:val="en-GB"/>
              </w:rPr>
            </w:pPr>
            <w:r w:rsidRPr="00C66B91">
              <w:rPr>
                <w:color w:val="000000"/>
                <w:sz w:val="22"/>
                <w:szCs w:val="22"/>
                <w:lang w:val="en-GB"/>
              </w:rPr>
              <w:t>20</w:t>
            </w:r>
          </w:p>
        </w:tc>
        <w:tc>
          <w:tcPr>
            <w:tcW w:w="724"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-813</w:t>
            </w:r>
          </w:p>
        </w:tc>
        <w:tc>
          <w:tcPr>
            <w:tcW w:w="898"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-322</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p>
        </w:tc>
        <w:tc>
          <w:tcPr>
            <w:tcW w:w="569" w:type="pct"/>
            <w:tcBorders>
              <w:top w:val="nil"/>
              <w:left w:val="nil"/>
              <w:bottom w:val="nil"/>
              <w:right w:val="nil"/>
            </w:tcBorders>
            <w:shd w:val="clear" w:color="auto" w:fill="auto"/>
            <w:vAlign w:val="center"/>
          </w:tcPr>
          <w:p w:rsidR="0082243E" w:rsidRPr="00C66B91" w:rsidRDefault="0082243E" w:rsidP="0082243E">
            <w:pPr>
              <w:rPr>
                <w:sz w:val="20"/>
                <w:szCs w:val="20"/>
                <w:lang w:val="en-GB"/>
              </w:rPr>
            </w:pPr>
          </w:p>
        </w:tc>
        <w:tc>
          <w:tcPr>
            <w:tcW w:w="724" w:type="pct"/>
            <w:tcBorders>
              <w:top w:val="nil"/>
              <w:left w:val="nil"/>
              <w:bottom w:val="single" w:sz="8" w:space="0" w:color="auto"/>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 </w:t>
            </w:r>
          </w:p>
        </w:tc>
        <w:tc>
          <w:tcPr>
            <w:tcW w:w="898" w:type="pct"/>
            <w:tcBorders>
              <w:top w:val="nil"/>
              <w:left w:val="nil"/>
              <w:bottom w:val="single" w:sz="8" w:space="0" w:color="auto"/>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 </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r w:rsidRPr="00C66B91">
              <w:rPr>
                <w:b/>
                <w:bCs/>
                <w:color w:val="000000"/>
                <w:sz w:val="22"/>
                <w:szCs w:val="22"/>
                <w:lang w:val="en-GB"/>
              </w:rPr>
              <w:t>Profit before taxes</w:t>
            </w:r>
          </w:p>
        </w:tc>
        <w:tc>
          <w:tcPr>
            <w:tcW w:w="56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p>
        </w:tc>
        <w:tc>
          <w:tcPr>
            <w:tcW w:w="724" w:type="pct"/>
            <w:tcBorders>
              <w:top w:val="nil"/>
              <w:left w:val="nil"/>
              <w:bottom w:val="single" w:sz="8" w:space="0" w:color="auto"/>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5,525</w:t>
            </w:r>
          </w:p>
        </w:tc>
        <w:tc>
          <w:tcPr>
            <w:tcW w:w="898" w:type="pct"/>
            <w:tcBorders>
              <w:top w:val="nil"/>
              <w:left w:val="nil"/>
              <w:bottom w:val="single" w:sz="8" w:space="0" w:color="auto"/>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4,448</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p>
        </w:tc>
        <w:tc>
          <w:tcPr>
            <w:tcW w:w="569" w:type="pct"/>
            <w:tcBorders>
              <w:top w:val="nil"/>
              <w:left w:val="nil"/>
              <w:bottom w:val="nil"/>
              <w:right w:val="nil"/>
            </w:tcBorders>
            <w:shd w:val="clear" w:color="auto" w:fill="auto"/>
            <w:vAlign w:val="center"/>
          </w:tcPr>
          <w:p w:rsidR="0082243E" w:rsidRPr="00C66B91" w:rsidRDefault="0082243E" w:rsidP="0082243E">
            <w:pPr>
              <w:rPr>
                <w:sz w:val="20"/>
                <w:szCs w:val="20"/>
                <w:lang w:val="en-GB"/>
              </w:rPr>
            </w:pPr>
          </w:p>
        </w:tc>
        <w:tc>
          <w:tcPr>
            <w:tcW w:w="724" w:type="pct"/>
            <w:tcBorders>
              <w:top w:val="nil"/>
              <w:left w:val="nil"/>
              <w:bottom w:val="nil"/>
              <w:right w:val="nil"/>
            </w:tcBorders>
            <w:shd w:val="clear" w:color="auto" w:fill="auto"/>
            <w:vAlign w:val="center"/>
          </w:tcPr>
          <w:p w:rsidR="0082243E" w:rsidRPr="00C66B91" w:rsidRDefault="0082243E" w:rsidP="0082243E">
            <w:pPr>
              <w:jc w:val="center"/>
              <w:rPr>
                <w:sz w:val="20"/>
                <w:szCs w:val="20"/>
                <w:lang w:val="en-GB"/>
              </w:rPr>
            </w:pPr>
          </w:p>
        </w:tc>
        <w:tc>
          <w:tcPr>
            <w:tcW w:w="898" w:type="pct"/>
            <w:tcBorders>
              <w:top w:val="nil"/>
              <w:left w:val="nil"/>
              <w:bottom w:val="nil"/>
              <w:right w:val="nil"/>
            </w:tcBorders>
            <w:shd w:val="clear" w:color="auto" w:fill="auto"/>
            <w:vAlign w:val="center"/>
          </w:tcPr>
          <w:p w:rsidR="0082243E" w:rsidRPr="00C66B91" w:rsidRDefault="0082243E" w:rsidP="0082243E">
            <w:pPr>
              <w:jc w:val="right"/>
              <w:rPr>
                <w:sz w:val="20"/>
                <w:szCs w:val="20"/>
                <w:lang w:val="en-GB"/>
              </w:rPr>
            </w:pP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color w:val="000000"/>
                <w:sz w:val="22"/>
                <w:szCs w:val="22"/>
                <w:lang w:val="en-GB"/>
              </w:rPr>
            </w:pPr>
            <w:r w:rsidRPr="00C66B91">
              <w:rPr>
                <w:color w:val="000000"/>
                <w:sz w:val="22"/>
                <w:szCs w:val="22"/>
                <w:lang w:val="en-GB"/>
              </w:rPr>
              <w:t xml:space="preserve">Income taxes </w:t>
            </w:r>
          </w:p>
        </w:tc>
        <w:tc>
          <w:tcPr>
            <w:tcW w:w="569" w:type="pct"/>
            <w:tcBorders>
              <w:top w:val="nil"/>
              <w:left w:val="nil"/>
              <w:bottom w:val="nil"/>
              <w:right w:val="nil"/>
            </w:tcBorders>
            <w:shd w:val="clear" w:color="auto" w:fill="auto"/>
            <w:vAlign w:val="center"/>
          </w:tcPr>
          <w:p w:rsidR="0082243E" w:rsidRPr="00C66B91" w:rsidRDefault="0082243E" w:rsidP="0082243E">
            <w:pPr>
              <w:jc w:val="center"/>
              <w:rPr>
                <w:color w:val="000000"/>
                <w:sz w:val="22"/>
                <w:szCs w:val="22"/>
                <w:lang w:val="en-GB"/>
              </w:rPr>
            </w:pPr>
            <w:r w:rsidRPr="00C66B91">
              <w:rPr>
                <w:color w:val="000000"/>
                <w:sz w:val="22"/>
                <w:szCs w:val="22"/>
                <w:lang w:val="en-GB"/>
              </w:rPr>
              <w:t>21</w:t>
            </w:r>
          </w:p>
        </w:tc>
        <w:tc>
          <w:tcPr>
            <w:tcW w:w="724"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-664</w:t>
            </w:r>
          </w:p>
        </w:tc>
        <w:tc>
          <w:tcPr>
            <w:tcW w:w="898"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-445</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jc w:val="right"/>
              <w:rPr>
                <w:color w:val="241E1C"/>
                <w:sz w:val="22"/>
                <w:szCs w:val="22"/>
                <w:lang w:val="en-GB"/>
              </w:rPr>
            </w:pPr>
          </w:p>
        </w:tc>
        <w:tc>
          <w:tcPr>
            <w:tcW w:w="569" w:type="pct"/>
            <w:tcBorders>
              <w:top w:val="nil"/>
              <w:left w:val="nil"/>
              <w:bottom w:val="nil"/>
              <w:right w:val="nil"/>
            </w:tcBorders>
            <w:shd w:val="clear" w:color="auto" w:fill="auto"/>
            <w:vAlign w:val="center"/>
          </w:tcPr>
          <w:p w:rsidR="0082243E" w:rsidRPr="00C66B91" w:rsidRDefault="0082243E" w:rsidP="0082243E">
            <w:pPr>
              <w:rPr>
                <w:sz w:val="20"/>
                <w:szCs w:val="20"/>
                <w:lang w:val="en-GB"/>
              </w:rPr>
            </w:pPr>
          </w:p>
        </w:tc>
        <w:tc>
          <w:tcPr>
            <w:tcW w:w="724" w:type="pct"/>
            <w:tcBorders>
              <w:top w:val="nil"/>
              <w:left w:val="nil"/>
              <w:bottom w:val="single" w:sz="8" w:space="0" w:color="auto"/>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 </w:t>
            </w:r>
          </w:p>
        </w:tc>
        <w:tc>
          <w:tcPr>
            <w:tcW w:w="898" w:type="pct"/>
            <w:tcBorders>
              <w:top w:val="nil"/>
              <w:left w:val="nil"/>
              <w:bottom w:val="single" w:sz="8" w:space="0" w:color="auto"/>
              <w:right w:val="nil"/>
            </w:tcBorders>
            <w:shd w:val="clear" w:color="auto" w:fill="auto"/>
            <w:vAlign w:val="center"/>
          </w:tcPr>
          <w:p w:rsidR="0082243E" w:rsidRPr="00C66B91" w:rsidRDefault="0082243E" w:rsidP="0082243E">
            <w:pPr>
              <w:jc w:val="right"/>
              <w:rPr>
                <w:color w:val="241E1C"/>
                <w:sz w:val="22"/>
                <w:szCs w:val="22"/>
                <w:lang w:val="en-GB"/>
              </w:rPr>
            </w:pPr>
            <w:r w:rsidRPr="00C66B91">
              <w:rPr>
                <w:color w:val="241E1C"/>
                <w:sz w:val="22"/>
                <w:szCs w:val="22"/>
                <w:lang w:val="en-GB"/>
              </w:rPr>
              <w:t> </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r w:rsidRPr="00C66B91">
              <w:rPr>
                <w:b/>
                <w:bCs/>
                <w:color w:val="000000"/>
                <w:sz w:val="22"/>
                <w:szCs w:val="22"/>
                <w:lang w:val="en-GB"/>
              </w:rPr>
              <w:t>Profit after taxes</w:t>
            </w:r>
          </w:p>
        </w:tc>
        <w:tc>
          <w:tcPr>
            <w:tcW w:w="56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p>
        </w:tc>
        <w:tc>
          <w:tcPr>
            <w:tcW w:w="724" w:type="pct"/>
            <w:tcBorders>
              <w:top w:val="nil"/>
              <w:left w:val="nil"/>
              <w:bottom w:val="double" w:sz="6" w:space="0" w:color="auto"/>
              <w:right w:val="nil"/>
            </w:tcBorders>
            <w:shd w:val="clear" w:color="auto" w:fill="auto"/>
            <w:vAlign w:val="center"/>
          </w:tcPr>
          <w:p w:rsidR="0082243E" w:rsidRPr="00C66B91" w:rsidRDefault="0082243E" w:rsidP="0082243E">
            <w:pPr>
              <w:jc w:val="right"/>
              <w:rPr>
                <w:b/>
                <w:bCs/>
                <w:color w:val="241E1C"/>
                <w:sz w:val="22"/>
                <w:szCs w:val="22"/>
                <w:lang w:val="en-GB"/>
              </w:rPr>
            </w:pPr>
            <w:r w:rsidRPr="00C66B91">
              <w:rPr>
                <w:b/>
                <w:bCs/>
                <w:color w:val="241E1C"/>
                <w:sz w:val="22"/>
                <w:szCs w:val="22"/>
                <w:lang w:val="en-GB"/>
              </w:rPr>
              <w:t>4,861</w:t>
            </w:r>
          </w:p>
        </w:tc>
        <w:tc>
          <w:tcPr>
            <w:tcW w:w="898" w:type="pct"/>
            <w:tcBorders>
              <w:top w:val="nil"/>
              <w:left w:val="nil"/>
              <w:bottom w:val="double" w:sz="6" w:space="0" w:color="auto"/>
              <w:right w:val="nil"/>
            </w:tcBorders>
            <w:shd w:val="clear" w:color="auto" w:fill="auto"/>
            <w:vAlign w:val="center"/>
          </w:tcPr>
          <w:p w:rsidR="0082243E" w:rsidRPr="00C66B91" w:rsidRDefault="0082243E" w:rsidP="0082243E">
            <w:pPr>
              <w:jc w:val="right"/>
              <w:rPr>
                <w:b/>
                <w:bCs/>
                <w:color w:val="241E1C"/>
                <w:sz w:val="22"/>
                <w:szCs w:val="22"/>
                <w:lang w:val="en-GB"/>
              </w:rPr>
            </w:pPr>
            <w:r w:rsidRPr="00C66B91">
              <w:rPr>
                <w:b/>
                <w:bCs/>
                <w:color w:val="241E1C"/>
                <w:sz w:val="22"/>
                <w:szCs w:val="22"/>
                <w:lang w:val="en-GB"/>
              </w:rPr>
              <w:t>4,003</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jc w:val="right"/>
              <w:rPr>
                <w:b/>
                <w:bCs/>
                <w:color w:val="241E1C"/>
                <w:sz w:val="22"/>
                <w:szCs w:val="22"/>
                <w:lang w:val="en-GB"/>
              </w:rPr>
            </w:pPr>
          </w:p>
        </w:tc>
        <w:tc>
          <w:tcPr>
            <w:tcW w:w="569" w:type="pct"/>
            <w:tcBorders>
              <w:top w:val="nil"/>
              <w:left w:val="nil"/>
              <w:bottom w:val="nil"/>
              <w:right w:val="nil"/>
            </w:tcBorders>
            <w:shd w:val="clear" w:color="auto" w:fill="auto"/>
            <w:vAlign w:val="center"/>
          </w:tcPr>
          <w:p w:rsidR="0082243E" w:rsidRPr="00C66B91" w:rsidRDefault="0082243E" w:rsidP="0082243E">
            <w:pPr>
              <w:rPr>
                <w:sz w:val="20"/>
                <w:szCs w:val="20"/>
                <w:lang w:val="en-GB"/>
              </w:rPr>
            </w:pPr>
          </w:p>
        </w:tc>
        <w:tc>
          <w:tcPr>
            <w:tcW w:w="724" w:type="pct"/>
            <w:tcBorders>
              <w:top w:val="nil"/>
              <w:left w:val="nil"/>
              <w:bottom w:val="nil"/>
              <w:right w:val="nil"/>
            </w:tcBorders>
            <w:shd w:val="clear" w:color="auto" w:fill="auto"/>
            <w:vAlign w:val="center"/>
          </w:tcPr>
          <w:p w:rsidR="0082243E" w:rsidRPr="00C66B91" w:rsidRDefault="0082243E" w:rsidP="0082243E">
            <w:pPr>
              <w:jc w:val="center"/>
              <w:rPr>
                <w:sz w:val="20"/>
                <w:szCs w:val="20"/>
                <w:lang w:val="en-GB"/>
              </w:rPr>
            </w:pPr>
          </w:p>
        </w:tc>
        <w:tc>
          <w:tcPr>
            <w:tcW w:w="898" w:type="pct"/>
            <w:tcBorders>
              <w:top w:val="nil"/>
              <w:left w:val="nil"/>
              <w:bottom w:val="nil"/>
              <w:right w:val="nil"/>
            </w:tcBorders>
            <w:shd w:val="clear" w:color="auto" w:fill="auto"/>
            <w:vAlign w:val="center"/>
          </w:tcPr>
          <w:p w:rsidR="0082243E" w:rsidRPr="00C66B91" w:rsidRDefault="0082243E" w:rsidP="0082243E">
            <w:pPr>
              <w:jc w:val="right"/>
              <w:rPr>
                <w:sz w:val="20"/>
                <w:szCs w:val="20"/>
                <w:lang w:val="en-GB"/>
              </w:rPr>
            </w:pP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color w:val="000000"/>
                <w:sz w:val="22"/>
                <w:szCs w:val="22"/>
                <w:lang w:val="en-GB"/>
              </w:rPr>
            </w:pPr>
            <w:r w:rsidRPr="00C66B91">
              <w:rPr>
                <w:color w:val="000000"/>
                <w:sz w:val="22"/>
                <w:szCs w:val="22"/>
                <w:lang w:val="en-GB"/>
              </w:rPr>
              <w:t>Other comprehensive income for the year, net of taxes</w:t>
            </w:r>
          </w:p>
        </w:tc>
        <w:tc>
          <w:tcPr>
            <w:tcW w:w="569" w:type="pct"/>
            <w:tcBorders>
              <w:top w:val="nil"/>
              <w:left w:val="nil"/>
              <w:bottom w:val="nil"/>
              <w:right w:val="nil"/>
            </w:tcBorders>
            <w:shd w:val="clear" w:color="auto" w:fill="auto"/>
            <w:vAlign w:val="center"/>
          </w:tcPr>
          <w:p w:rsidR="0082243E" w:rsidRPr="00C66B91" w:rsidRDefault="0082243E" w:rsidP="0082243E">
            <w:pPr>
              <w:rPr>
                <w:color w:val="000000"/>
                <w:sz w:val="22"/>
                <w:szCs w:val="22"/>
                <w:lang w:val="en-GB"/>
              </w:rPr>
            </w:pPr>
          </w:p>
        </w:tc>
        <w:tc>
          <w:tcPr>
            <w:tcW w:w="724" w:type="pct"/>
            <w:tcBorders>
              <w:top w:val="nil"/>
              <w:left w:val="nil"/>
              <w:bottom w:val="nil"/>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w:t>
            </w:r>
          </w:p>
        </w:tc>
        <w:tc>
          <w:tcPr>
            <w:tcW w:w="898" w:type="pct"/>
            <w:tcBorders>
              <w:top w:val="nil"/>
              <w:left w:val="nil"/>
              <w:bottom w:val="nil"/>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jc w:val="right"/>
              <w:rPr>
                <w:b/>
                <w:bCs/>
                <w:color w:val="000000"/>
                <w:sz w:val="22"/>
                <w:szCs w:val="22"/>
                <w:lang w:val="en-GB"/>
              </w:rPr>
            </w:pPr>
          </w:p>
        </w:tc>
        <w:tc>
          <w:tcPr>
            <w:tcW w:w="569" w:type="pct"/>
            <w:tcBorders>
              <w:top w:val="nil"/>
              <w:left w:val="nil"/>
              <w:bottom w:val="nil"/>
              <w:right w:val="nil"/>
            </w:tcBorders>
            <w:shd w:val="clear" w:color="auto" w:fill="auto"/>
            <w:vAlign w:val="center"/>
          </w:tcPr>
          <w:p w:rsidR="0082243E" w:rsidRPr="00C66B91" w:rsidRDefault="0082243E" w:rsidP="0082243E">
            <w:pPr>
              <w:rPr>
                <w:sz w:val="20"/>
                <w:szCs w:val="20"/>
                <w:lang w:val="en-GB"/>
              </w:rPr>
            </w:pPr>
          </w:p>
        </w:tc>
        <w:tc>
          <w:tcPr>
            <w:tcW w:w="724" w:type="pct"/>
            <w:tcBorders>
              <w:top w:val="nil"/>
              <w:left w:val="nil"/>
              <w:bottom w:val="single" w:sz="8" w:space="0" w:color="auto"/>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 </w:t>
            </w:r>
          </w:p>
        </w:tc>
        <w:tc>
          <w:tcPr>
            <w:tcW w:w="898" w:type="pct"/>
            <w:tcBorders>
              <w:top w:val="nil"/>
              <w:left w:val="nil"/>
              <w:bottom w:val="single" w:sz="8" w:space="0" w:color="auto"/>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 </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r w:rsidRPr="00C66B91">
              <w:rPr>
                <w:b/>
                <w:bCs/>
                <w:color w:val="000000"/>
                <w:sz w:val="22"/>
                <w:szCs w:val="22"/>
                <w:lang w:val="en-GB"/>
              </w:rPr>
              <w:t>Total comprehensive income for the year</w:t>
            </w:r>
          </w:p>
        </w:tc>
        <w:tc>
          <w:tcPr>
            <w:tcW w:w="56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p>
        </w:tc>
        <w:tc>
          <w:tcPr>
            <w:tcW w:w="724" w:type="pct"/>
            <w:tcBorders>
              <w:top w:val="nil"/>
              <w:left w:val="nil"/>
              <w:bottom w:val="double" w:sz="6" w:space="0" w:color="auto"/>
              <w:right w:val="nil"/>
            </w:tcBorders>
            <w:shd w:val="clear" w:color="auto" w:fill="auto"/>
            <w:vAlign w:val="center"/>
          </w:tcPr>
          <w:p w:rsidR="0082243E" w:rsidRPr="00C66B91" w:rsidRDefault="0082243E" w:rsidP="0082243E">
            <w:pPr>
              <w:jc w:val="right"/>
              <w:rPr>
                <w:b/>
                <w:bCs/>
                <w:color w:val="241E1C"/>
                <w:sz w:val="22"/>
                <w:szCs w:val="22"/>
                <w:lang w:val="en-GB"/>
              </w:rPr>
            </w:pPr>
            <w:r w:rsidRPr="00C66B91">
              <w:rPr>
                <w:b/>
                <w:bCs/>
                <w:color w:val="241E1C"/>
                <w:sz w:val="22"/>
                <w:szCs w:val="22"/>
                <w:lang w:val="en-GB"/>
              </w:rPr>
              <w:t>4,861</w:t>
            </w:r>
          </w:p>
        </w:tc>
        <w:tc>
          <w:tcPr>
            <w:tcW w:w="898" w:type="pct"/>
            <w:tcBorders>
              <w:top w:val="nil"/>
              <w:left w:val="nil"/>
              <w:bottom w:val="double" w:sz="6" w:space="0" w:color="auto"/>
              <w:right w:val="nil"/>
            </w:tcBorders>
            <w:shd w:val="clear" w:color="auto" w:fill="auto"/>
            <w:vAlign w:val="center"/>
          </w:tcPr>
          <w:p w:rsidR="0082243E" w:rsidRPr="00C66B91" w:rsidRDefault="0082243E" w:rsidP="0082243E">
            <w:pPr>
              <w:jc w:val="right"/>
              <w:rPr>
                <w:b/>
                <w:bCs/>
                <w:color w:val="241E1C"/>
                <w:sz w:val="22"/>
                <w:szCs w:val="22"/>
                <w:lang w:val="en-GB"/>
              </w:rPr>
            </w:pPr>
            <w:r w:rsidRPr="00C66B91">
              <w:rPr>
                <w:b/>
                <w:bCs/>
                <w:color w:val="241E1C"/>
                <w:sz w:val="22"/>
                <w:szCs w:val="22"/>
                <w:lang w:val="en-GB"/>
              </w:rPr>
              <w:t>4,003</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jc w:val="right"/>
              <w:rPr>
                <w:b/>
                <w:bCs/>
                <w:color w:val="241E1C"/>
                <w:sz w:val="22"/>
                <w:szCs w:val="22"/>
                <w:lang w:val="en-GB"/>
              </w:rPr>
            </w:pPr>
          </w:p>
        </w:tc>
        <w:tc>
          <w:tcPr>
            <w:tcW w:w="569" w:type="pct"/>
            <w:tcBorders>
              <w:top w:val="nil"/>
              <w:left w:val="nil"/>
              <w:bottom w:val="nil"/>
              <w:right w:val="nil"/>
            </w:tcBorders>
            <w:shd w:val="clear" w:color="auto" w:fill="auto"/>
            <w:vAlign w:val="center"/>
          </w:tcPr>
          <w:p w:rsidR="0082243E" w:rsidRPr="00C66B91" w:rsidRDefault="0082243E" w:rsidP="0082243E">
            <w:pPr>
              <w:rPr>
                <w:sz w:val="20"/>
                <w:szCs w:val="20"/>
                <w:lang w:val="en-GB"/>
              </w:rPr>
            </w:pPr>
          </w:p>
        </w:tc>
        <w:tc>
          <w:tcPr>
            <w:tcW w:w="724" w:type="pct"/>
            <w:tcBorders>
              <w:top w:val="nil"/>
              <w:left w:val="nil"/>
              <w:bottom w:val="single" w:sz="8" w:space="0" w:color="auto"/>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 </w:t>
            </w:r>
          </w:p>
        </w:tc>
        <w:tc>
          <w:tcPr>
            <w:tcW w:w="898" w:type="pct"/>
            <w:tcBorders>
              <w:top w:val="nil"/>
              <w:left w:val="nil"/>
              <w:bottom w:val="single" w:sz="8" w:space="0" w:color="auto"/>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 </w:t>
            </w:r>
          </w:p>
        </w:tc>
      </w:tr>
      <w:tr w:rsidR="0082243E" w:rsidRPr="00C66B91" w:rsidTr="00911666">
        <w:trPr>
          <w:trHeight w:val="227"/>
        </w:trPr>
        <w:tc>
          <w:tcPr>
            <w:tcW w:w="2809" w:type="pct"/>
            <w:tcBorders>
              <w:top w:val="nil"/>
              <w:left w:val="nil"/>
              <w:bottom w:val="nil"/>
              <w:right w:val="nil"/>
            </w:tcBorders>
            <w:shd w:val="clear" w:color="auto" w:fill="auto"/>
            <w:vAlign w:val="center"/>
          </w:tcPr>
          <w:p w:rsidR="0082243E" w:rsidRPr="00C66B91" w:rsidRDefault="0082243E" w:rsidP="0082243E">
            <w:pPr>
              <w:rPr>
                <w:b/>
                <w:bCs/>
                <w:color w:val="000000"/>
                <w:sz w:val="22"/>
                <w:szCs w:val="22"/>
                <w:lang w:val="en-GB"/>
              </w:rPr>
            </w:pPr>
            <w:r w:rsidRPr="00C66B91">
              <w:rPr>
                <w:b/>
                <w:bCs/>
                <w:color w:val="000000"/>
                <w:sz w:val="22"/>
                <w:szCs w:val="22"/>
                <w:lang w:val="en-GB"/>
              </w:rPr>
              <w:t>Earnings per share</w:t>
            </w:r>
          </w:p>
        </w:tc>
        <w:tc>
          <w:tcPr>
            <w:tcW w:w="569" w:type="pct"/>
            <w:tcBorders>
              <w:top w:val="nil"/>
              <w:left w:val="nil"/>
              <w:bottom w:val="nil"/>
              <w:right w:val="nil"/>
            </w:tcBorders>
            <w:shd w:val="clear" w:color="auto" w:fill="auto"/>
            <w:vAlign w:val="center"/>
          </w:tcPr>
          <w:p w:rsidR="0082243E" w:rsidRPr="00C66B91" w:rsidRDefault="0082243E" w:rsidP="0082243E">
            <w:pPr>
              <w:jc w:val="center"/>
              <w:rPr>
                <w:color w:val="000000"/>
                <w:sz w:val="22"/>
                <w:szCs w:val="22"/>
                <w:lang w:val="en-GB"/>
              </w:rPr>
            </w:pPr>
            <w:r w:rsidRPr="00C66B91">
              <w:rPr>
                <w:color w:val="000000"/>
                <w:sz w:val="22"/>
                <w:szCs w:val="22"/>
                <w:lang w:val="en-GB"/>
              </w:rPr>
              <w:t>22</w:t>
            </w:r>
          </w:p>
        </w:tc>
        <w:tc>
          <w:tcPr>
            <w:tcW w:w="724" w:type="pct"/>
            <w:tcBorders>
              <w:top w:val="nil"/>
              <w:left w:val="nil"/>
              <w:bottom w:val="single" w:sz="8" w:space="0" w:color="auto"/>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0.91</w:t>
            </w:r>
          </w:p>
        </w:tc>
        <w:tc>
          <w:tcPr>
            <w:tcW w:w="898" w:type="pct"/>
            <w:tcBorders>
              <w:top w:val="nil"/>
              <w:left w:val="nil"/>
              <w:bottom w:val="single" w:sz="8" w:space="0" w:color="auto"/>
              <w:right w:val="nil"/>
            </w:tcBorders>
            <w:shd w:val="clear" w:color="auto" w:fill="auto"/>
            <w:vAlign w:val="center"/>
          </w:tcPr>
          <w:p w:rsidR="0082243E" w:rsidRPr="00C66B91" w:rsidRDefault="0082243E" w:rsidP="0082243E">
            <w:pPr>
              <w:jc w:val="right"/>
              <w:rPr>
                <w:b/>
                <w:bCs/>
                <w:color w:val="000000"/>
                <w:sz w:val="22"/>
                <w:szCs w:val="22"/>
                <w:lang w:val="en-GB"/>
              </w:rPr>
            </w:pPr>
            <w:r w:rsidRPr="00C66B91">
              <w:rPr>
                <w:b/>
                <w:bCs/>
                <w:color w:val="000000"/>
                <w:sz w:val="22"/>
                <w:szCs w:val="22"/>
                <w:lang w:val="en-GB"/>
              </w:rPr>
              <w:t>0.90</w:t>
            </w:r>
          </w:p>
        </w:tc>
      </w:tr>
    </w:tbl>
    <w:p w:rsidR="00E922D1" w:rsidRPr="00C66B91" w:rsidRDefault="00E922D1" w:rsidP="00E922D1">
      <w:pPr>
        <w:pStyle w:val="084cursiefgeeninspring"/>
        <w:spacing w:line="240" w:lineRule="auto"/>
        <w:rPr>
          <w:sz w:val="22"/>
          <w:szCs w:val="22"/>
          <w:lang w:val="en-GB"/>
        </w:rPr>
      </w:pPr>
    </w:p>
    <w:p w:rsidR="0082243E" w:rsidRPr="0082243E" w:rsidRDefault="0082243E" w:rsidP="0082243E">
      <w:pPr>
        <w:keepNext/>
        <w:autoSpaceDE w:val="0"/>
        <w:autoSpaceDN w:val="0"/>
        <w:adjustRightInd w:val="0"/>
        <w:jc w:val="both"/>
        <w:rPr>
          <w:i/>
          <w:iCs/>
          <w:sz w:val="22"/>
          <w:szCs w:val="22"/>
          <w:lang w:val="en-GB" w:eastAsia="bg-BG"/>
        </w:rPr>
      </w:pPr>
      <w:r w:rsidRPr="0082243E">
        <w:rPr>
          <w:i/>
          <w:iCs/>
          <w:sz w:val="22"/>
          <w:szCs w:val="22"/>
          <w:lang w:val="en-GB" w:eastAsia="bg-BG"/>
        </w:rPr>
        <w:t>The enclosed explanatory notes on pages 1 to 23 are an integral part of the financial statement.</w:t>
      </w:r>
    </w:p>
    <w:p w:rsidR="0082243E" w:rsidRPr="0082243E" w:rsidRDefault="0082243E" w:rsidP="0082243E">
      <w:pPr>
        <w:jc w:val="both"/>
        <w:rPr>
          <w:rFonts w:eastAsia="Times"/>
          <w:sz w:val="22"/>
          <w:szCs w:val="22"/>
          <w:lang w:val="en-GB"/>
        </w:rPr>
      </w:pPr>
    </w:p>
    <w:p w:rsidR="0082243E" w:rsidRPr="0082243E" w:rsidRDefault="0082243E" w:rsidP="0082243E">
      <w:pPr>
        <w:jc w:val="both"/>
        <w:rPr>
          <w:lang w:val="en-GB" w:eastAsia="bg-BG"/>
        </w:rPr>
      </w:pPr>
    </w:p>
    <w:p w:rsidR="0082243E" w:rsidRPr="0082243E" w:rsidRDefault="0082243E" w:rsidP="0082243E">
      <w:pPr>
        <w:jc w:val="both"/>
        <w:rPr>
          <w:lang w:val="en-GB" w:eastAsia="bg-BG"/>
        </w:rPr>
      </w:pPr>
    </w:p>
    <w:tbl>
      <w:tblPr>
        <w:tblW w:w="9484" w:type="dxa"/>
        <w:tblLayout w:type="fixed"/>
        <w:tblLook w:val="0000" w:firstRow="0" w:lastRow="0" w:firstColumn="0" w:lastColumn="0" w:noHBand="0" w:noVBand="0"/>
      </w:tblPr>
      <w:tblGrid>
        <w:gridCol w:w="4977"/>
        <w:gridCol w:w="4507"/>
      </w:tblGrid>
      <w:tr w:rsidR="0082243E" w:rsidRPr="0082243E" w:rsidTr="000554E8">
        <w:trPr>
          <w:trHeight w:val="284"/>
        </w:trPr>
        <w:tc>
          <w:tcPr>
            <w:tcW w:w="4977" w:type="dxa"/>
            <w:tcBorders>
              <w:top w:val="nil"/>
              <w:left w:val="nil"/>
              <w:bottom w:val="nil"/>
              <w:right w:val="nil"/>
            </w:tcBorders>
          </w:tcPr>
          <w:p w:rsidR="0082243E" w:rsidRPr="0082243E" w:rsidRDefault="0082243E" w:rsidP="0082243E">
            <w:pPr>
              <w:rPr>
                <w:lang w:val="en-GB"/>
              </w:rPr>
            </w:pPr>
            <w:r w:rsidRPr="0082243E">
              <w:rPr>
                <w:sz w:val="22"/>
                <w:szCs w:val="22"/>
                <w:lang w:val="en-GB"/>
              </w:rPr>
              <w:t>Executive Director:</w:t>
            </w:r>
          </w:p>
        </w:tc>
        <w:tc>
          <w:tcPr>
            <w:tcW w:w="4507" w:type="dxa"/>
            <w:tcBorders>
              <w:top w:val="nil"/>
              <w:left w:val="nil"/>
              <w:bottom w:val="nil"/>
              <w:right w:val="nil"/>
            </w:tcBorders>
          </w:tcPr>
          <w:p w:rsidR="0082243E" w:rsidRPr="0082243E" w:rsidRDefault="0082243E" w:rsidP="0082243E">
            <w:pPr>
              <w:rPr>
                <w:lang w:val="en-GB"/>
              </w:rPr>
            </w:pPr>
            <w:r w:rsidRPr="0082243E">
              <w:rPr>
                <w:color w:val="241E1C"/>
                <w:spacing w:val="-1"/>
                <w:sz w:val="22"/>
                <w:szCs w:val="22"/>
                <w:lang w:val="en-GB"/>
              </w:rPr>
              <w:t xml:space="preserve">     Chief Accountant</w:t>
            </w:r>
            <w:r w:rsidRPr="0082243E">
              <w:rPr>
                <w:sz w:val="22"/>
                <w:szCs w:val="22"/>
                <w:lang w:val="en-GB"/>
              </w:rPr>
              <w:t>:</w:t>
            </w:r>
          </w:p>
        </w:tc>
      </w:tr>
      <w:tr w:rsidR="0082243E" w:rsidRPr="0082243E" w:rsidTr="000554E8">
        <w:trPr>
          <w:trHeight w:val="284"/>
        </w:trPr>
        <w:tc>
          <w:tcPr>
            <w:tcW w:w="4977" w:type="dxa"/>
            <w:tcBorders>
              <w:top w:val="nil"/>
              <w:left w:val="nil"/>
              <w:bottom w:val="nil"/>
              <w:right w:val="nil"/>
            </w:tcBorders>
          </w:tcPr>
          <w:p w:rsidR="0082243E" w:rsidRPr="0082243E" w:rsidRDefault="0082243E" w:rsidP="0082243E">
            <w:pPr>
              <w:rPr>
                <w:lang w:val="en-GB"/>
              </w:rPr>
            </w:pPr>
            <w:r w:rsidRPr="0082243E">
              <w:rPr>
                <w:sz w:val="22"/>
                <w:szCs w:val="22"/>
                <w:lang w:val="en-GB"/>
              </w:rPr>
              <w:t xml:space="preserve">                                         </w:t>
            </w:r>
            <w:r w:rsidRPr="0082243E">
              <w:rPr>
                <w:color w:val="241E1C"/>
                <w:spacing w:val="-1"/>
                <w:sz w:val="22"/>
                <w:szCs w:val="22"/>
                <w:lang w:val="en-GB"/>
              </w:rPr>
              <w:t>Valery Mektupchiyan</w:t>
            </w:r>
          </w:p>
        </w:tc>
        <w:tc>
          <w:tcPr>
            <w:tcW w:w="4507" w:type="dxa"/>
            <w:tcBorders>
              <w:top w:val="nil"/>
              <w:left w:val="nil"/>
              <w:bottom w:val="nil"/>
              <w:right w:val="nil"/>
            </w:tcBorders>
          </w:tcPr>
          <w:p w:rsidR="0082243E" w:rsidRPr="0082243E" w:rsidRDefault="0082243E" w:rsidP="0082243E">
            <w:pPr>
              <w:rPr>
                <w:lang w:val="en-GB"/>
              </w:rPr>
            </w:pPr>
            <w:r w:rsidRPr="0082243E">
              <w:rPr>
                <w:sz w:val="22"/>
                <w:szCs w:val="22"/>
                <w:lang w:val="en-GB"/>
              </w:rPr>
              <w:t xml:space="preserve">                                         </w:t>
            </w:r>
            <w:r w:rsidRPr="0082243E">
              <w:rPr>
                <w:color w:val="241E1C"/>
                <w:spacing w:val="-1"/>
                <w:sz w:val="22"/>
                <w:szCs w:val="22"/>
                <w:lang w:val="en-GB"/>
              </w:rPr>
              <w:t>Stefka Levidzhova</w:t>
            </w:r>
          </w:p>
        </w:tc>
      </w:tr>
    </w:tbl>
    <w:p w:rsidR="0082243E" w:rsidRPr="0082243E" w:rsidRDefault="0082243E" w:rsidP="0082243E">
      <w:pPr>
        <w:tabs>
          <w:tab w:val="center" w:pos="4678"/>
        </w:tabs>
        <w:jc w:val="both"/>
        <w:rPr>
          <w:b/>
          <w:caps/>
          <w:sz w:val="22"/>
          <w:szCs w:val="22"/>
          <w:lang w:val="en-GB"/>
        </w:rPr>
        <w:sectPr w:rsidR="0082243E" w:rsidRPr="0082243E" w:rsidSect="00C46C22">
          <w:headerReference w:type="default" r:id="rId13"/>
          <w:type w:val="continuous"/>
          <w:pgSz w:w="11907" w:h="16840" w:code="9"/>
          <w:pgMar w:top="1411" w:right="1287" w:bottom="1080" w:left="1260" w:header="708" w:footer="708" w:gutter="0"/>
          <w:cols w:space="708"/>
          <w:noEndnote/>
          <w:titlePg/>
        </w:sectPr>
      </w:pPr>
    </w:p>
    <w:p w:rsidR="0082243E" w:rsidRPr="0082243E" w:rsidRDefault="0082243E" w:rsidP="0082243E">
      <w:pPr>
        <w:tabs>
          <w:tab w:val="center" w:pos="4678"/>
        </w:tabs>
        <w:jc w:val="both"/>
        <w:rPr>
          <w:color w:val="241E1C"/>
          <w:spacing w:val="-1"/>
          <w:sz w:val="22"/>
          <w:szCs w:val="22"/>
          <w:lang w:val="en-GB"/>
        </w:rPr>
      </w:pPr>
    </w:p>
    <w:p w:rsidR="0082243E" w:rsidRPr="0082243E" w:rsidRDefault="0082243E" w:rsidP="0082243E">
      <w:pPr>
        <w:tabs>
          <w:tab w:val="center" w:pos="4678"/>
        </w:tabs>
        <w:jc w:val="both"/>
        <w:rPr>
          <w:caps/>
          <w:sz w:val="22"/>
          <w:szCs w:val="22"/>
          <w:lang w:val="en-GB"/>
        </w:rPr>
      </w:pPr>
      <w:r w:rsidRPr="0082243E">
        <w:rPr>
          <w:color w:val="241E1C"/>
          <w:spacing w:val="-1"/>
          <w:sz w:val="22"/>
          <w:szCs w:val="22"/>
          <w:lang w:val="en-GB"/>
        </w:rPr>
        <w:t>Date:</w:t>
      </w:r>
    </w:p>
    <w:p w:rsidR="00E922D1" w:rsidRPr="00C66B91" w:rsidRDefault="00E922D1" w:rsidP="00E922D1">
      <w:pPr>
        <w:pStyle w:val="TableofFiguresTotal"/>
        <w:tabs>
          <w:tab w:val="center" w:pos="4678"/>
        </w:tabs>
        <w:rPr>
          <w:b w:val="0"/>
          <w:color w:val="241E1C"/>
          <w:spacing w:val="-1"/>
          <w:sz w:val="22"/>
          <w:szCs w:val="22"/>
        </w:rPr>
      </w:pPr>
    </w:p>
    <w:p w:rsidR="00E922D1" w:rsidRPr="00C66B91" w:rsidRDefault="00E922D1" w:rsidP="00E922D1">
      <w:pPr>
        <w:pStyle w:val="TableofFiguresTotal"/>
        <w:tabs>
          <w:tab w:val="center" w:pos="4678"/>
        </w:tabs>
        <w:rPr>
          <w:b w:val="0"/>
          <w:caps/>
          <w:sz w:val="22"/>
          <w:szCs w:val="22"/>
        </w:rPr>
        <w:sectPr w:rsidR="00E922D1" w:rsidRPr="00C66B91" w:rsidSect="00C46C22">
          <w:headerReference w:type="default" r:id="rId14"/>
          <w:footerReference w:type="default" r:id="rId15"/>
          <w:type w:val="continuous"/>
          <w:pgSz w:w="11907" w:h="16840" w:code="9"/>
          <w:pgMar w:top="1411" w:right="1287" w:bottom="1080" w:left="1260" w:header="708" w:footer="708" w:gutter="0"/>
          <w:cols w:space="708"/>
          <w:noEndnote/>
          <w:titlePg/>
        </w:sect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p w:rsidR="0082243E" w:rsidRPr="00C66B91" w:rsidRDefault="0082243E" w:rsidP="00E922D1">
      <w:pPr>
        <w:pStyle w:val="TableofFiguresTotal"/>
        <w:tabs>
          <w:tab w:val="center" w:pos="4678"/>
        </w:tabs>
        <w:rPr>
          <w:b w:val="0"/>
          <w:caps/>
          <w:sz w:val="22"/>
          <w:szCs w:val="22"/>
        </w:rPr>
      </w:pPr>
    </w:p>
    <w:p w:rsidR="0082243E" w:rsidRPr="00C66B91" w:rsidRDefault="0082243E" w:rsidP="00E922D1">
      <w:pPr>
        <w:pStyle w:val="TableofFiguresTotal"/>
        <w:tabs>
          <w:tab w:val="center" w:pos="4678"/>
        </w:tabs>
        <w:rPr>
          <w:b w:val="0"/>
          <w:caps/>
          <w:sz w:val="22"/>
          <w:szCs w:val="22"/>
        </w:rPr>
      </w:pPr>
    </w:p>
    <w:p w:rsidR="0082243E" w:rsidRPr="00C66B91" w:rsidRDefault="0082243E"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tbl>
      <w:tblPr>
        <w:tblW w:w="4945" w:type="pct"/>
        <w:tblLook w:val="0000" w:firstRow="0" w:lastRow="0" w:firstColumn="0" w:lastColumn="0" w:noHBand="0" w:noVBand="0"/>
      </w:tblPr>
      <w:tblGrid>
        <w:gridCol w:w="6304"/>
        <w:gridCol w:w="1694"/>
        <w:gridCol w:w="1259"/>
      </w:tblGrid>
      <w:tr w:rsidR="00911666" w:rsidRPr="00C66B91" w:rsidTr="00911666">
        <w:trPr>
          <w:trHeight w:val="241"/>
        </w:trPr>
        <w:tc>
          <w:tcPr>
            <w:tcW w:w="3405" w:type="pct"/>
            <w:tcBorders>
              <w:top w:val="nil"/>
              <w:left w:val="nil"/>
              <w:bottom w:val="nil"/>
              <w:right w:val="nil"/>
            </w:tcBorders>
            <w:shd w:val="clear" w:color="auto" w:fill="auto"/>
            <w:vAlign w:val="center"/>
          </w:tcPr>
          <w:p w:rsidR="00911666" w:rsidRPr="00C66B91" w:rsidRDefault="00911666" w:rsidP="00911666">
            <w:pPr>
              <w:rPr>
                <w:sz w:val="20"/>
                <w:szCs w:val="20"/>
                <w:lang w:val="en-GB"/>
              </w:rPr>
            </w:pPr>
          </w:p>
        </w:tc>
        <w:tc>
          <w:tcPr>
            <w:tcW w:w="915" w:type="pct"/>
            <w:tcBorders>
              <w:top w:val="nil"/>
              <w:left w:val="nil"/>
              <w:bottom w:val="single" w:sz="8" w:space="0" w:color="auto"/>
              <w:right w:val="nil"/>
            </w:tcBorders>
            <w:shd w:val="clear" w:color="auto" w:fill="auto"/>
            <w:vAlign w:val="center"/>
          </w:tcPr>
          <w:p w:rsidR="00911666" w:rsidRPr="00C66B91" w:rsidRDefault="008A588E" w:rsidP="00911666">
            <w:pPr>
              <w:jc w:val="center"/>
              <w:rPr>
                <w:b/>
                <w:bCs/>
                <w:color w:val="000000"/>
                <w:sz w:val="22"/>
                <w:szCs w:val="22"/>
                <w:lang w:val="en-GB"/>
              </w:rPr>
            </w:pPr>
            <w:r w:rsidRPr="00C66B91">
              <w:rPr>
                <w:b/>
                <w:bCs/>
                <w:color w:val="000000"/>
                <w:sz w:val="22"/>
                <w:szCs w:val="22"/>
                <w:lang w:val="en-GB"/>
              </w:rPr>
              <w:t>30.06</w:t>
            </w:r>
            <w:r w:rsidR="00911666" w:rsidRPr="00C66B91">
              <w:rPr>
                <w:b/>
                <w:bCs/>
                <w:color w:val="000000"/>
                <w:sz w:val="22"/>
                <w:szCs w:val="22"/>
                <w:lang w:val="en-GB"/>
              </w:rPr>
              <w:t>.2015</w:t>
            </w:r>
          </w:p>
        </w:tc>
        <w:tc>
          <w:tcPr>
            <w:tcW w:w="680" w:type="pct"/>
            <w:tcBorders>
              <w:top w:val="nil"/>
              <w:left w:val="nil"/>
              <w:bottom w:val="single" w:sz="8" w:space="0" w:color="auto"/>
              <w:right w:val="nil"/>
            </w:tcBorders>
            <w:shd w:val="clear" w:color="auto" w:fill="auto"/>
            <w:vAlign w:val="center"/>
          </w:tcPr>
          <w:p w:rsidR="00911666" w:rsidRPr="00C66B91" w:rsidRDefault="008A588E" w:rsidP="00911666">
            <w:pPr>
              <w:jc w:val="center"/>
              <w:rPr>
                <w:b/>
                <w:bCs/>
                <w:color w:val="000000"/>
                <w:sz w:val="22"/>
                <w:szCs w:val="22"/>
                <w:lang w:val="en-GB"/>
              </w:rPr>
            </w:pPr>
            <w:r w:rsidRPr="00C66B91">
              <w:rPr>
                <w:b/>
                <w:bCs/>
                <w:color w:val="000000"/>
                <w:sz w:val="22"/>
                <w:szCs w:val="22"/>
                <w:lang w:val="en-GB"/>
              </w:rPr>
              <w:t>30.06</w:t>
            </w:r>
            <w:r w:rsidR="00911666" w:rsidRPr="00C66B91">
              <w:rPr>
                <w:b/>
                <w:bCs/>
                <w:color w:val="000000"/>
                <w:sz w:val="22"/>
                <w:szCs w:val="22"/>
                <w:lang w:val="en-GB"/>
              </w:rPr>
              <w:t>.2014</w:t>
            </w:r>
          </w:p>
        </w:tc>
      </w:tr>
      <w:tr w:rsidR="00911666" w:rsidRPr="00C66B91" w:rsidTr="00911666">
        <w:trPr>
          <w:trHeight w:val="241"/>
        </w:trPr>
        <w:tc>
          <w:tcPr>
            <w:tcW w:w="3405" w:type="pct"/>
            <w:tcBorders>
              <w:top w:val="nil"/>
              <w:left w:val="nil"/>
              <w:bottom w:val="nil"/>
              <w:right w:val="nil"/>
            </w:tcBorders>
            <w:shd w:val="clear" w:color="auto" w:fill="auto"/>
            <w:vAlign w:val="center"/>
          </w:tcPr>
          <w:p w:rsidR="00911666" w:rsidRPr="00C66B91" w:rsidRDefault="00911666" w:rsidP="00911666">
            <w:pPr>
              <w:jc w:val="center"/>
              <w:rPr>
                <w:b/>
                <w:bCs/>
                <w:color w:val="000000"/>
                <w:sz w:val="22"/>
                <w:szCs w:val="22"/>
                <w:lang w:val="en-GB"/>
              </w:rPr>
            </w:pPr>
          </w:p>
        </w:tc>
        <w:tc>
          <w:tcPr>
            <w:tcW w:w="915" w:type="pct"/>
            <w:tcBorders>
              <w:top w:val="nil"/>
              <w:left w:val="nil"/>
              <w:bottom w:val="nil"/>
              <w:right w:val="nil"/>
            </w:tcBorders>
            <w:shd w:val="clear" w:color="auto" w:fill="auto"/>
            <w:vAlign w:val="center"/>
          </w:tcPr>
          <w:p w:rsidR="00911666" w:rsidRPr="00C66B91" w:rsidRDefault="00911666" w:rsidP="00911666">
            <w:pPr>
              <w:jc w:val="center"/>
              <w:rPr>
                <w:b/>
                <w:bCs/>
                <w:color w:val="000000"/>
                <w:sz w:val="22"/>
                <w:szCs w:val="22"/>
                <w:lang w:val="en-GB"/>
              </w:rPr>
            </w:pPr>
            <w:r w:rsidRPr="00C66B91">
              <w:rPr>
                <w:b/>
                <w:bCs/>
                <w:color w:val="000000"/>
                <w:sz w:val="22"/>
                <w:szCs w:val="22"/>
                <w:lang w:val="en-GB"/>
              </w:rPr>
              <w:t>BGN’000</w:t>
            </w:r>
          </w:p>
        </w:tc>
        <w:tc>
          <w:tcPr>
            <w:tcW w:w="680" w:type="pct"/>
            <w:tcBorders>
              <w:top w:val="nil"/>
              <w:left w:val="nil"/>
              <w:bottom w:val="nil"/>
              <w:right w:val="nil"/>
            </w:tcBorders>
            <w:shd w:val="clear" w:color="auto" w:fill="auto"/>
            <w:vAlign w:val="center"/>
          </w:tcPr>
          <w:p w:rsidR="00911666" w:rsidRPr="00C66B91" w:rsidRDefault="00911666" w:rsidP="00911666">
            <w:pPr>
              <w:jc w:val="center"/>
              <w:rPr>
                <w:b/>
                <w:bCs/>
                <w:color w:val="000000"/>
                <w:sz w:val="22"/>
                <w:szCs w:val="22"/>
                <w:lang w:val="en-GB"/>
              </w:rPr>
            </w:pPr>
            <w:r w:rsidRPr="00C66B91">
              <w:rPr>
                <w:b/>
                <w:bCs/>
                <w:color w:val="000000"/>
                <w:sz w:val="22"/>
                <w:szCs w:val="22"/>
                <w:lang w:val="en-GB"/>
              </w:rPr>
              <w:t>BGN’000</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b/>
                <w:bCs/>
                <w:color w:val="000000"/>
                <w:sz w:val="22"/>
                <w:szCs w:val="22"/>
                <w:lang w:val="en-GB"/>
              </w:rPr>
            </w:pPr>
            <w:r w:rsidRPr="00C66B91">
              <w:rPr>
                <w:b/>
                <w:bCs/>
                <w:color w:val="000000"/>
                <w:sz w:val="22"/>
                <w:szCs w:val="22"/>
                <w:lang w:val="en-GB"/>
              </w:rPr>
              <w:t>Cash flows from operating activity</w:t>
            </w:r>
          </w:p>
        </w:tc>
        <w:tc>
          <w:tcPr>
            <w:tcW w:w="915" w:type="pct"/>
            <w:tcBorders>
              <w:top w:val="nil"/>
              <w:left w:val="nil"/>
              <w:bottom w:val="nil"/>
              <w:right w:val="nil"/>
            </w:tcBorders>
            <w:shd w:val="clear" w:color="auto" w:fill="auto"/>
            <w:tcMar>
              <w:right w:w="340" w:type="dxa"/>
            </w:tcMar>
            <w:vAlign w:val="center"/>
          </w:tcPr>
          <w:p w:rsidR="00F70128" w:rsidRPr="00C66B91" w:rsidRDefault="00F70128" w:rsidP="00F70128">
            <w:pPr>
              <w:rPr>
                <w:b/>
                <w:bCs/>
                <w:color w:val="000000"/>
                <w:sz w:val="22"/>
                <w:szCs w:val="22"/>
                <w:lang w:val="en-GB"/>
              </w:rPr>
            </w:pPr>
          </w:p>
        </w:tc>
        <w:tc>
          <w:tcPr>
            <w:tcW w:w="680" w:type="pct"/>
            <w:tcBorders>
              <w:top w:val="nil"/>
              <w:left w:val="nil"/>
              <w:bottom w:val="nil"/>
              <w:right w:val="nil"/>
            </w:tcBorders>
            <w:shd w:val="clear" w:color="auto" w:fill="auto"/>
            <w:tcMar>
              <w:right w:w="340" w:type="dxa"/>
            </w:tcMar>
            <w:vAlign w:val="center"/>
          </w:tcPr>
          <w:p w:rsidR="00F70128" w:rsidRPr="00C66B91" w:rsidRDefault="00F70128" w:rsidP="00F70128">
            <w:pPr>
              <w:jc w:val="right"/>
              <w:rPr>
                <w:sz w:val="20"/>
                <w:szCs w:val="20"/>
                <w:lang w:val="en-GB"/>
              </w:rPr>
            </w:pP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241E1C"/>
                <w:sz w:val="22"/>
                <w:szCs w:val="22"/>
                <w:lang w:val="en-GB"/>
              </w:rPr>
            </w:pPr>
            <w:r w:rsidRPr="00C66B91">
              <w:rPr>
                <w:color w:val="241E1C"/>
                <w:sz w:val="22"/>
                <w:szCs w:val="22"/>
                <w:lang w:val="en-GB"/>
              </w:rPr>
              <w:t>Proceeds from customers</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66,603</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41,683</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241E1C"/>
                <w:sz w:val="22"/>
                <w:szCs w:val="22"/>
                <w:lang w:val="en-GB"/>
              </w:rPr>
            </w:pPr>
            <w:r w:rsidRPr="00C66B91">
              <w:rPr>
                <w:color w:val="241E1C"/>
                <w:sz w:val="22"/>
                <w:szCs w:val="22"/>
                <w:lang w:val="en-GB"/>
              </w:rPr>
              <w:t>Payments to suppliers</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-44,357</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-25,878</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241E1C"/>
                <w:sz w:val="22"/>
                <w:szCs w:val="22"/>
                <w:lang w:val="en-GB"/>
              </w:rPr>
            </w:pPr>
            <w:r w:rsidRPr="00C66B91">
              <w:rPr>
                <w:color w:val="241E1C"/>
                <w:sz w:val="22"/>
                <w:szCs w:val="22"/>
                <w:lang w:val="en-GB"/>
              </w:rPr>
              <w:t>Payments related to remunerations</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-11,125</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-7,701</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241E1C"/>
                <w:sz w:val="22"/>
                <w:szCs w:val="22"/>
                <w:lang w:val="en-GB"/>
              </w:rPr>
            </w:pPr>
            <w:r w:rsidRPr="00C66B91">
              <w:rPr>
                <w:color w:val="241E1C"/>
                <w:sz w:val="22"/>
                <w:szCs w:val="22"/>
                <w:lang w:val="en-GB"/>
              </w:rPr>
              <w:t xml:space="preserve">Tax payment </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-5,082</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-4,235</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241E1C"/>
                <w:sz w:val="22"/>
                <w:szCs w:val="22"/>
                <w:lang w:val="en-GB"/>
              </w:rPr>
            </w:pPr>
            <w:r w:rsidRPr="00C66B91">
              <w:rPr>
                <w:color w:val="241E1C"/>
                <w:sz w:val="22"/>
                <w:szCs w:val="22"/>
                <w:lang w:val="en-GB"/>
              </w:rPr>
              <w:t>Other cash flows from operating activity</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85</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b/>
                <w:bCs/>
                <w:i/>
                <w:iCs/>
                <w:color w:val="000000"/>
                <w:sz w:val="22"/>
                <w:szCs w:val="22"/>
                <w:lang w:val="en-GB"/>
              </w:rPr>
            </w:pPr>
            <w:r w:rsidRPr="00C66B91">
              <w:rPr>
                <w:b/>
                <w:bCs/>
                <w:i/>
                <w:iCs/>
                <w:color w:val="000000"/>
                <w:sz w:val="22"/>
                <w:szCs w:val="22"/>
                <w:lang w:val="en-GB"/>
              </w:rPr>
              <w:t>Net cash flow from operating activity</w:t>
            </w:r>
          </w:p>
        </w:tc>
        <w:tc>
          <w:tcPr>
            <w:tcW w:w="915" w:type="pct"/>
            <w:tcBorders>
              <w:top w:val="single" w:sz="8" w:space="0" w:color="auto"/>
              <w:left w:val="nil"/>
              <w:bottom w:val="nil"/>
              <w:right w:val="nil"/>
            </w:tcBorders>
            <w:shd w:val="clear" w:color="auto" w:fill="auto"/>
            <w:vAlign w:val="center"/>
          </w:tcPr>
          <w:p w:rsidR="00F70128" w:rsidRPr="00C66B91" w:rsidRDefault="00F70128" w:rsidP="00F70128">
            <w:pPr>
              <w:jc w:val="right"/>
              <w:rPr>
                <w:b/>
                <w:bCs/>
                <w:color w:val="241E1C"/>
                <w:sz w:val="22"/>
                <w:szCs w:val="22"/>
                <w:lang w:val="en-GB"/>
              </w:rPr>
            </w:pPr>
            <w:r w:rsidRPr="00C66B91">
              <w:rPr>
                <w:b/>
                <w:bCs/>
                <w:color w:val="241E1C"/>
                <w:sz w:val="22"/>
                <w:szCs w:val="22"/>
                <w:lang w:val="en-GB"/>
              </w:rPr>
              <w:t>6,124</w:t>
            </w:r>
          </w:p>
        </w:tc>
        <w:tc>
          <w:tcPr>
            <w:tcW w:w="680" w:type="pct"/>
            <w:tcBorders>
              <w:top w:val="single" w:sz="8" w:space="0" w:color="auto"/>
              <w:left w:val="nil"/>
              <w:bottom w:val="nil"/>
              <w:right w:val="nil"/>
            </w:tcBorders>
            <w:shd w:val="clear" w:color="auto" w:fill="auto"/>
            <w:vAlign w:val="center"/>
          </w:tcPr>
          <w:p w:rsidR="00F70128" w:rsidRPr="00C66B91" w:rsidRDefault="00F70128" w:rsidP="00F70128">
            <w:pPr>
              <w:jc w:val="right"/>
              <w:rPr>
                <w:b/>
                <w:bCs/>
                <w:color w:val="241E1C"/>
                <w:sz w:val="22"/>
                <w:szCs w:val="22"/>
                <w:lang w:val="en-GB"/>
              </w:rPr>
            </w:pPr>
            <w:r w:rsidRPr="00C66B91">
              <w:rPr>
                <w:b/>
                <w:bCs/>
                <w:color w:val="241E1C"/>
                <w:sz w:val="22"/>
                <w:szCs w:val="22"/>
                <w:lang w:val="en-GB"/>
              </w:rPr>
              <w:t>3,869</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jc w:val="center"/>
              <w:rPr>
                <w:b/>
                <w:bCs/>
                <w:color w:val="241E1C"/>
                <w:sz w:val="22"/>
                <w:szCs w:val="22"/>
                <w:lang w:val="en-GB"/>
              </w:rPr>
            </w:pPr>
          </w:p>
        </w:tc>
        <w:tc>
          <w:tcPr>
            <w:tcW w:w="915" w:type="pct"/>
            <w:tcBorders>
              <w:top w:val="single" w:sz="8" w:space="0" w:color="auto"/>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 </w:t>
            </w:r>
          </w:p>
        </w:tc>
        <w:tc>
          <w:tcPr>
            <w:tcW w:w="680" w:type="pct"/>
            <w:tcBorders>
              <w:top w:val="single" w:sz="8" w:space="0" w:color="auto"/>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 </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b/>
                <w:bCs/>
                <w:color w:val="000000"/>
                <w:sz w:val="22"/>
                <w:szCs w:val="22"/>
                <w:lang w:val="en-GB"/>
              </w:rPr>
            </w:pPr>
            <w:r w:rsidRPr="00C66B91">
              <w:rPr>
                <w:b/>
                <w:bCs/>
                <w:color w:val="000000"/>
                <w:sz w:val="22"/>
                <w:szCs w:val="22"/>
                <w:lang w:val="en-GB"/>
              </w:rPr>
              <w:t>Cash flows from investing activity</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b/>
                <w:bCs/>
                <w:color w:val="000000"/>
                <w:sz w:val="22"/>
                <w:szCs w:val="22"/>
                <w:lang w:val="en-GB"/>
              </w:rPr>
            </w:pP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sz w:val="20"/>
                <w:szCs w:val="20"/>
                <w:lang w:val="en-GB"/>
              </w:rPr>
            </w:pP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241E1C"/>
                <w:sz w:val="22"/>
                <w:szCs w:val="22"/>
                <w:lang w:val="en-GB"/>
              </w:rPr>
            </w:pPr>
            <w:r w:rsidRPr="00C66B91">
              <w:rPr>
                <w:color w:val="241E1C"/>
                <w:sz w:val="22"/>
                <w:szCs w:val="22"/>
                <w:lang w:val="en-GB"/>
              </w:rPr>
              <w:t>Proceeds from sale of plant and equipment</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104</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68</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241E1C"/>
                <w:sz w:val="22"/>
                <w:szCs w:val="22"/>
                <w:lang w:val="en-GB"/>
              </w:rPr>
            </w:pPr>
            <w:r w:rsidRPr="00C66B91">
              <w:rPr>
                <w:color w:val="241E1C"/>
                <w:sz w:val="22"/>
                <w:szCs w:val="22"/>
                <w:lang w:val="en-GB"/>
              </w:rPr>
              <w:t>Payments for purchase of plant and equipment</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-1,914</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-324</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241E1C"/>
                <w:sz w:val="22"/>
                <w:szCs w:val="22"/>
                <w:lang w:val="en-GB"/>
              </w:rPr>
            </w:pPr>
            <w:r w:rsidRPr="00C66B91">
              <w:rPr>
                <w:color w:val="241E1C"/>
                <w:sz w:val="22"/>
                <w:szCs w:val="22"/>
                <w:lang w:val="en-GB"/>
              </w:rPr>
              <w:t>Other proceeds</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1,128</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b/>
                <w:bCs/>
                <w:i/>
                <w:iCs/>
                <w:color w:val="000000"/>
                <w:sz w:val="22"/>
                <w:szCs w:val="22"/>
                <w:lang w:val="en-GB"/>
              </w:rPr>
            </w:pPr>
            <w:r w:rsidRPr="00C66B91">
              <w:rPr>
                <w:b/>
                <w:bCs/>
                <w:i/>
                <w:iCs/>
                <w:color w:val="000000"/>
                <w:sz w:val="22"/>
                <w:szCs w:val="22"/>
                <w:lang w:val="en-GB"/>
              </w:rPr>
              <w:t>Net cash flow from investing activity</w:t>
            </w:r>
          </w:p>
        </w:tc>
        <w:tc>
          <w:tcPr>
            <w:tcW w:w="915" w:type="pct"/>
            <w:tcBorders>
              <w:top w:val="single" w:sz="8" w:space="0" w:color="auto"/>
              <w:left w:val="nil"/>
              <w:bottom w:val="nil"/>
              <w:right w:val="nil"/>
            </w:tcBorders>
            <w:shd w:val="clear" w:color="auto" w:fill="auto"/>
            <w:vAlign w:val="center"/>
          </w:tcPr>
          <w:p w:rsidR="00F70128" w:rsidRPr="00C66B91" w:rsidRDefault="00F70128" w:rsidP="00F70128">
            <w:pPr>
              <w:jc w:val="right"/>
              <w:rPr>
                <w:b/>
                <w:bCs/>
                <w:color w:val="241E1C"/>
                <w:sz w:val="22"/>
                <w:szCs w:val="22"/>
                <w:lang w:val="en-GB"/>
              </w:rPr>
            </w:pPr>
            <w:r w:rsidRPr="00C66B91">
              <w:rPr>
                <w:b/>
                <w:bCs/>
                <w:color w:val="241E1C"/>
                <w:sz w:val="22"/>
                <w:szCs w:val="22"/>
                <w:lang w:val="en-GB"/>
              </w:rPr>
              <w:t>-682</w:t>
            </w:r>
          </w:p>
        </w:tc>
        <w:tc>
          <w:tcPr>
            <w:tcW w:w="680" w:type="pct"/>
            <w:tcBorders>
              <w:top w:val="single" w:sz="8" w:space="0" w:color="auto"/>
              <w:left w:val="nil"/>
              <w:bottom w:val="nil"/>
              <w:right w:val="nil"/>
            </w:tcBorders>
            <w:shd w:val="clear" w:color="auto" w:fill="auto"/>
            <w:vAlign w:val="center"/>
          </w:tcPr>
          <w:p w:rsidR="00F70128" w:rsidRPr="00C66B91" w:rsidRDefault="00F70128" w:rsidP="00F70128">
            <w:pPr>
              <w:jc w:val="right"/>
              <w:rPr>
                <w:b/>
                <w:bCs/>
                <w:color w:val="241E1C"/>
                <w:sz w:val="22"/>
                <w:szCs w:val="22"/>
                <w:lang w:val="en-GB"/>
              </w:rPr>
            </w:pPr>
            <w:r w:rsidRPr="00C66B91">
              <w:rPr>
                <w:b/>
                <w:bCs/>
                <w:color w:val="241E1C"/>
                <w:sz w:val="22"/>
                <w:szCs w:val="22"/>
                <w:lang w:val="en-GB"/>
              </w:rPr>
              <w:t>-256</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jc w:val="center"/>
              <w:rPr>
                <w:b/>
                <w:bCs/>
                <w:color w:val="241E1C"/>
                <w:sz w:val="22"/>
                <w:szCs w:val="22"/>
                <w:lang w:val="en-GB"/>
              </w:rPr>
            </w:pPr>
          </w:p>
        </w:tc>
        <w:tc>
          <w:tcPr>
            <w:tcW w:w="915" w:type="pct"/>
            <w:tcBorders>
              <w:top w:val="single" w:sz="8" w:space="0" w:color="auto"/>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 </w:t>
            </w:r>
          </w:p>
        </w:tc>
        <w:tc>
          <w:tcPr>
            <w:tcW w:w="680" w:type="pct"/>
            <w:tcBorders>
              <w:top w:val="single" w:sz="8" w:space="0" w:color="auto"/>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 </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b/>
                <w:bCs/>
                <w:color w:val="000000"/>
                <w:sz w:val="22"/>
                <w:szCs w:val="22"/>
                <w:lang w:val="en-GB"/>
              </w:rPr>
            </w:pPr>
            <w:r w:rsidRPr="00C66B91">
              <w:rPr>
                <w:b/>
                <w:bCs/>
                <w:color w:val="000000"/>
                <w:sz w:val="22"/>
                <w:szCs w:val="22"/>
                <w:lang w:val="en-GB"/>
              </w:rPr>
              <w:t>Cash flows from financial activity</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b/>
                <w:bCs/>
                <w:color w:val="000000"/>
                <w:sz w:val="22"/>
                <w:szCs w:val="22"/>
                <w:lang w:val="en-GB"/>
              </w:rPr>
            </w:pP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sz w:val="20"/>
                <w:szCs w:val="20"/>
                <w:lang w:val="en-GB"/>
              </w:rPr>
            </w:pP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000000"/>
                <w:sz w:val="22"/>
                <w:szCs w:val="22"/>
                <w:lang w:val="en-GB"/>
              </w:rPr>
            </w:pPr>
            <w:r w:rsidRPr="00C66B91">
              <w:rPr>
                <w:color w:val="000000"/>
                <w:sz w:val="22"/>
                <w:szCs w:val="22"/>
                <w:lang w:val="en-GB"/>
              </w:rPr>
              <w:t>Payments under financial lease agreements</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-2,285</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-1,981</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000000"/>
                <w:sz w:val="22"/>
                <w:szCs w:val="22"/>
                <w:lang w:val="en-GB"/>
              </w:rPr>
            </w:pPr>
            <w:r w:rsidRPr="00C66B91">
              <w:rPr>
                <w:color w:val="000000"/>
                <w:sz w:val="22"/>
                <w:szCs w:val="22"/>
                <w:lang w:val="en-GB"/>
              </w:rPr>
              <w:t>Proceeds from issuance of securities</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000000"/>
                <w:sz w:val="22"/>
                <w:szCs w:val="22"/>
                <w:lang w:val="en-GB"/>
              </w:rPr>
            </w:pPr>
            <w:r w:rsidRPr="00C66B91">
              <w:rPr>
                <w:color w:val="000000"/>
                <w:sz w:val="22"/>
                <w:szCs w:val="22"/>
                <w:lang w:val="en-GB"/>
              </w:rPr>
              <w:t>Loans obtained</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1,623</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000000"/>
                <w:sz w:val="22"/>
                <w:szCs w:val="22"/>
                <w:lang w:val="en-GB"/>
              </w:rPr>
            </w:pPr>
            <w:r w:rsidRPr="00C66B91">
              <w:rPr>
                <w:color w:val="000000"/>
                <w:sz w:val="22"/>
                <w:szCs w:val="22"/>
                <w:lang w:val="en-GB"/>
              </w:rPr>
              <w:t>Repayment loans</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-4,002</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-61</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000000"/>
                <w:sz w:val="22"/>
                <w:szCs w:val="22"/>
                <w:lang w:val="en-GB"/>
              </w:rPr>
            </w:pPr>
            <w:r w:rsidRPr="00C66B91">
              <w:rPr>
                <w:color w:val="000000"/>
                <w:sz w:val="22"/>
                <w:szCs w:val="22"/>
                <w:lang w:val="en-GB"/>
              </w:rPr>
              <w:t>Dividend payment</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-2,471</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-2,221</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color w:val="241E1C"/>
                <w:sz w:val="22"/>
                <w:szCs w:val="22"/>
                <w:lang w:val="en-GB"/>
              </w:rPr>
            </w:pPr>
            <w:r w:rsidRPr="00C66B91">
              <w:rPr>
                <w:color w:val="241E1C"/>
                <w:sz w:val="22"/>
                <w:szCs w:val="22"/>
                <w:lang w:val="en-GB"/>
              </w:rPr>
              <w:t>Other cash flows from financial activity</w:t>
            </w:r>
          </w:p>
        </w:tc>
        <w:tc>
          <w:tcPr>
            <w:tcW w:w="915"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-797</w:t>
            </w:r>
          </w:p>
        </w:tc>
        <w:tc>
          <w:tcPr>
            <w:tcW w:w="680" w:type="pct"/>
            <w:tcBorders>
              <w:top w:val="nil"/>
              <w:left w:val="nil"/>
              <w:bottom w:val="nil"/>
              <w:right w:val="nil"/>
            </w:tcBorders>
            <w:shd w:val="clear" w:color="auto" w:fill="auto"/>
            <w:tcMar>
              <w:right w:w="284" w:type="dxa"/>
            </w:tcMar>
            <w:vAlign w:val="center"/>
          </w:tcPr>
          <w:p w:rsidR="00F70128" w:rsidRPr="00C66B91" w:rsidRDefault="00F70128" w:rsidP="00F70128">
            <w:pPr>
              <w:jc w:val="right"/>
              <w:rPr>
                <w:color w:val="241E1C"/>
                <w:sz w:val="22"/>
                <w:szCs w:val="22"/>
                <w:lang w:val="en-GB"/>
              </w:rPr>
            </w:pPr>
            <w:r w:rsidRPr="00C66B91">
              <w:rPr>
                <w:color w:val="241E1C"/>
                <w:sz w:val="22"/>
                <w:szCs w:val="22"/>
                <w:lang w:val="en-GB"/>
              </w:rPr>
              <w:t>-5,432</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rPr>
                <w:b/>
                <w:bCs/>
                <w:i/>
                <w:iCs/>
                <w:color w:val="000000"/>
                <w:sz w:val="22"/>
                <w:szCs w:val="22"/>
                <w:lang w:val="en-GB"/>
              </w:rPr>
            </w:pPr>
            <w:r w:rsidRPr="00C66B91">
              <w:rPr>
                <w:b/>
                <w:bCs/>
                <w:i/>
                <w:iCs/>
                <w:color w:val="000000"/>
                <w:sz w:val="22"/>
                <w:szCs w:val="22"/>
                <w:lang w:val="en-GB"/>
              </w:rPr>
              <w:t>Net cash flow from financial activity</w:t>
            </w:r>
          </w:p>
        </w:tc>
        <w:tc>
          <w:tcPr>
            <w:tcW w:w="915" w:type="pct"/>
            <w:tcBorders>
              <w:top w:val="single" w:sz="8" w:space="0" w:color="auto"/>
              <w:left w:val="nil"/>
              <w:bottom w:val="nil"/>
              <w:right w:val="nil"/>
            </w:tcBorders>
            <w:shd w:val="clear" w:color="auto" w:fill="auto"/>
            <w:vAlign w:val="center"/>
          </w:tcPr>
          <w:p w:rsidR="00F70128" w:rsidRPr="00C66B91" w:rsidRDefault="00F70128" w:rsidP="00F70128">
            <w:pPr>
              <w:jc w:val="right"/>
              <w:rPr>
                <w:b/>
                <w:bCs/>
                <w:color w:val="000000"/>
                <w:sz w:val="22"/>
                <w:szCs w:val="22"/>
                <w:lang w:val="en-GB"/>
              </w:rPr>
            </w:pPr>
            <w:r w:rsidRPr="00C66B91">
              <w:rPr>
                <w:b/>
                <w:bCs/>
                <w:color w:val="000000"/>
                <w:sz w:val="22"/>
                <w:szCs w:val="22"/>
                <w:lang w:val="en-GB"/>
              </w:rPr>
              <w:t>-7,932</w:t>
            </w:r>
          </w:p>
        </w:tc>
        <w:tc>
          <w:tcPr>
            <w:tcW w:w="680" w:type="pct"/>
            <w:tcBorders>
              <w:top w:val="single" w:sz="8" w:space="0" w:color="auto"/>
              <w:left w:val="nil"/>
              <w:bottom w:val="nil"/>
              <w:right w:val="nil"/>
            </w:tcBorders>
            <w:shd w:val="clear" w:color="auto" w:fill="auto"/>
            <w:vAlign w:val="center"/>
          </w:tcPr>
          <w:p w:rsidR="00F70128" w:rsidRPr="00C66B91" w:rsidRDefault="00F70128" w:rsidP="00F70128">
            <w:pPr>
              <w:jc w:val="right"/>
              <w:rPr>
                <w:b/>
                <w:bCs/>
                <w:color w:val="000000"/>
                <w:sz w:val="22"/>
                <w:szCs w:val="22"/>
                <w:lang w:val="en-GB"/>
              </w:rPr>
            </w:pPr>
            <w:r w:rsidRPr="00C66B91">
              <w:rPr>
                <w:b/>
                <w:bCs/>
                <w:color w:val="000000"/>
                <w:sz w:val="22"/>
                <w:szCs w:val="22"/>
                <w:lang w:val="en-GB"/>
              </w:rPr>
              <w:t>-9,695</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jc w:val="center"/>
              <w:rPr>
                <w:b/>
                <w:bCs/>
                <w:color w:val="000000"/>
                <w:sz w:val="22"/>
                <w:szCs w:val="22"/>
                <w:lang w:val="en-GB"/>
              </w:rPr>
            </w:pPr>
          </w:p>
        </w:tc>
        <w:tc>
          <w:tcPr>
            <w:tcW w:w="915" w:type="pct"/>
            <w:tcBorders>
              <w:top w:val="single" w:sz="8" w:space="0" w:color="auto"/>
              <w:left w:val="nil"/>
              <w:bottom w:val="single" w:sz="8" w:space="0" w:color="auto"/>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 </w:t>
            </w:r>
          </w:p>
        </w:tc>
        <w:tc>
          <w:tcPr>
            <w:tcW w:w="680" w:type="pct"/>
            <w:tcBorders>
              <w:top w:val="single" w:sz="8" w:space="0" w:color="auto"/>
              <w:left w:val="nil"/>
              <w:bottom w:val="single" w:sz="8" w:space="0" w:color="auto"/>
              <w:right w:val="nil"/>
            </w:tcBorders>
            <w:shd w:val="clear" w:color="auto" w:fill="auto"/>
            <w:tcMar>
              <w:right w:w="284" w:type="dxa"/>
            </w:tcMar>
            <w:vAlign w:val="center"/>
          </w:tcPr>
          <w:p w:rsidR="00F70128" w:rsidRPr="00C66B91" w:rsidRDefault="00F70128" w:rsidP="00F70128">
            <w:pPr>
              <w:jc w:val="right"/>
              <w:rPr>
                <w:color w:val="000000"/>
                <w:sz w:val="22"/>
                <w:szCs w:val="22"/>
                <w:lang w:val="en-GB"/>
              </w:rPr>
            </w:pPr>
            <w:r w:rsidRPr="00C66B91">
              <w:rPr>
                <w:color w:val="000000"/>
                <w:sz w:val="22"/>
                <w:szCs w:val="22"/>
                <w:lang w:val="en-GB"/>
              </w:rPr>
              <w:t> </w:t>
            </w:r>
          </w:p>
        </w:tc>
      </w:tr>
      <w:tr w:rsidR="00F70128" w:rsidRPr="00C66B91" w:rsidTr="00911666">
        <w:trPr>
          <w:trHeight w:val="241"/>
        </w:trPr>
        <w:tc>
          <w:tcPr>
            <w:tcW w:w="3405" w:type="pct"/>
            <w:tcBorders>
              <w:top w:val="nil"/>
              <w:left w:val="nil"/>
              <w:bottom w:val="nil"/>
              <w:right w:val="nil"/>
            </w:tcBorders>
            <w:shd w:val="clear" w:color="auto" w:fill="auto"/>
            <w:vAlign w:val="center"/>
          </w:tcPr>
          <w:p w:rsidR="00F70128" w:rsidRPr="00C66B91" w:rsidRDefault="00F70128" w:rsidP="00F70128">
            <w:pPr>
              <w:jc w:val="both"/>
              <w:rPr>
                <w:b/>
                <w:bCs/>
                <w:color w:val="000000"/>
                <w:sz w:val="22"/>
                <w:szCs w:val="22"/>
                <w:lang w:val="en-GB"/>
              </w:rPr>
            </w:pPr>
            <w:r w:rsidRPr="00C66B91">
              <w:rPr>
                <w:b/>
                <w:bCs/>
                <w:color w:val="000000"/>
                <w:sz w:val="22"/>
                <w:szCs w:val="22"/>
                <w:lang w:val="en-GB"/>
              </w:rPr>
              <w:t>Change in cash and cash equivalents</w:t>
            </w:r>
          </w:p>
        </w:tc>
        <w:tc>
          <w:tcPr>
            <w:tcW w:w="915" w:type="pct"/>
            <w:tcBorders>
              <w:top w:val="nil"/>
              <w:left w:val="nil"/>
              <w:bottom w:val="single" w:sz="8" w:space="0" w:color="auto"/>
              <w:right w:val="nil"/>
            </w:tcBorders>
            <w:shd w:val="clear" w:color="auto" w:fill="auto"/>
            <w:tcMar>
              <w:right w:w="284" w:type="dxa"/>
            </w:tcMar>
            <w:vAlign w:val="center"/>
          </w:tcPr>
          <w:p w:rsidR="00F70128" w:rsidRPr="00C66B91" w:rsidRDefault="00F70128" w:rsidP="00F70128">
            <w:pPr>
              <w:jc w:val="right"/>
              <w:rPr>
                <w:b/>
                <w:bCs/>
                <w:color w:val="000000"/>
                <w:sz w:val="22"/>
                <w:szCs w:val="22"/>
                <w:lang w:val="en-GB"/>
              </w:rPr>
            </w:pPr>
            <w:r w:rsidRPr="00C66B91">
              <w:rPr>
                <w:b/>
                <w:bCs/>
                <w:color w:val="000000"/>
                <w:sz w:val="22"/>
                <w:szCs w:val="22"/>
                <w:lang w:val="en-GB"/>
              </w:rPr>
              <w:t>-2,490</w:t>
            </w:r>
          </w:p>
        </w:tc>
        <w:tc>
          <w:tcPr>
            <w:tcW w:w="680" w:type="pct"/>
            <w:tcBorders>
              <w:top w:val="nil"/>
              <w:left w:val="nil"/>
              <w:bottom w:val="single" w:sz="8" w:space="0" w:color="auto"/>
              <w:right w:val="nil"/>
            </w:tcBorders>
            <w:shd w:val="clear" w:color="auto" w:fill="auto"/>
            <w:tcMar>
              <w:right w:w="284" w:type="dxa"/>
            </w:tcMar>
            <w:vAlign w:val="center"/>
          </w:tcPr>
          <w:p w:rsidR="00F70128" w:rsidRPr="00C66B91" w:rsidRDefault="00F70128" w:rsidP="00F70128">
            <w:pPr>
              <w:jc w:val="right"/>
              <w:rPr>
                <w:b/>
                <w:bCs/>
                <w:color w:val="000000"/>
                <w:sz w:val="22"/>
                <w:szCs w:val="22"/>
                <w:lang w:val="en-GB"/>
              </w:rPr>
            </w:pPr>
            <w:r w:rsidRPr="00C66B91">
              <w:rPr>
                <w:b/>
                <w:bCs/>
                <w:color w:val="000000"/>
                <w:sz w:val="22"/>
                <w:szCs w:val="22"/>
                <w:lang w:val="en-GB"/>
              </w:rPr>
              <w:t>-1,458</w:t>
            </w:r>
          </w:p>
        </w:tc>
      </w:tr>
      <w:tr w:rsidR="00F70128" w:rsidRPr="00C66B91" w:rsidTr="00911666">
        <w:trPr>
          <w:trHeight w:val="284"/>
        </w:trPr>
        <w:tc>
          <w:tcPr>
            <w:tcW w:w="3405" w:type="pct"/>
            <w:tcBorders>
              <w:top w:val="nil"/>
              <w:left w:val="nil"/>
              <w:bottom w:val="nil"/>
              <w:right w:val="nil"/>
            </w:tcBorders>
            <w:shd w:val="clear" w:color="auto" w:fill="auto"/>
            <w:vAlign w:val="center"/>
          </w:tcPr>
          <w:p w:rsidR="00F70128" w:rsidRPr="00C66B91" w:rsidRDefault="00F70128" w:rsidP="00F70128">
            <w:pPr>
              <w:jc w:val="right"/>
              <w:rPr>
                <w:b/>
                <w:bCs/>
                <w:color w:val="000000"/>
                <w:sz w:val="22"/>
                <w:szCs w:val="22"/>
                <w:lang w:val="en-GB"/>
              </w:rPr>
            </w:pPr>
          </w:p>
        </w:tc>
        <w:tc>
          <w:tcPr>
            <w:tcW w:w="915" w:type="pct"/>
            <w:tcBorders>
              <w:top w:val="nil"/>
              <w:left w:val="nil"/>
              <w:bottom w:val="nil"/>
              <w:right w:val="nil"/>
            </w:tcBorders>
            <w:shd w:val="clear" w:color="auto" w:fill="auto"/>
            <w:vAlign w:val="center"/>
          </w:tcPr>
          <w:p w:rsidR="00F70128" w:rsidRPr="00C66B91" w:rsidRDefault="00F70128" w:rsidP="00F70128">
            <w:pPr>
              <w:jc w:val="right"/>
              <w:rPr>
                <w:sz w:val="20"/>
                <w:szCs w:val="20"/>
                <w:lang w:val="en-GB"/>
              </w:rPr>
            </w:pPr>
          </w:p>
        </w:tc>
        <w:tc>
          <w:tcPr>
            <w:tcW w:w="680" w:type="pct"/>
            <w:tcBorders>
              <w:top w:val="nil"/>
              <w:left w:val="nil"/>
              <w:bottom w:val="nil"/>
              <w:right w:val="nil"/>
            </w:tcBorders>
            <w:shd w:val="clear" w:color="auto" w:fill="auto"/>
            <w:vAlign w:val="center"/>
          </w:tcPr>
          <w:p w:rsidR="00F70128" w:rsidRPr="00C66B91" w:rsidRDefault="00F70128" w:rsidP="00F70128">
            <w:pPr>
              <w:jc w:val="right"/>
              <w:rPr>
                <w:sz w:val="20"/>
                <w:szCs w:val="20"/>
                <w:lang w:val="en-GB"/>
              </w:rPr>
            </w:pPr>
          </w:p>
        </w:tc>
      </w:tr>
      <w:tr w:rsidR="00F70128" w:rsidRPr="00C66B91" w:rsidTr="00911666">
        <w:trPr>
          <w:trHeight w:val="284"/>
        </w:trPr>
        <w:tc>
          <w:tcPr>
            <w:tcW w:w="3405" w:type="pct"/>
            <w:tcBorders>
              <w:top w:val="nil"/>
              <w:left w:val="nil"/>
              <w:bottom w:val="nil"/>
              <w:right w:val="nil"/>
            </w:tcBorders>
            <w:shd w:val="clear" w:color="auto" w:fill="auto"/>
            <w:vAlign w:val="center"/>
          </w:tcPr>
          <w:p w:rsidR="00F70128" w:rsidRPr="00C66B91" w:rsidRDefault="00F70128" w:rsidP="00F70128">
            <w:pPr>
              <w:rPr>
                <w:color w:val="000000"/>
                <w:sz w:val="22"/>
                <w:szCs w:val="22"/>
                <w:lang w:val="en-GB"/>
              </w:rPr>
            </w:pPr>
            <w:r w:rsidRPr="00C66B91">
              <w:rPr>
                <w:color w:val="000000"/>
                <w:sz w:val="22"/>
                <w:szCs w:val="22"/>
                <w:lang w:val="en-GB"/>
              </w:rPr>
              <w:t>Net effect of changes in exchange rates</w:t>
            </w:r>
          </w:p>
        </w:tc>
        <w:tc>
          <w:tcPr>
            <w:tcW w:w="915" w:type="pct"/>
            <w:tcBorders>
              <w:top w:val="nil"/>
              <w:left w:val="nil"/>
              <w:bottom w:val="nil"/>
              <w:right w:val="nil"/>
            </w:tcBorders>
            <w:shd w:val="clear" w:color="auto" w:fill="auto"/>
            <w:vAlign w:val="center"/>
          </w:tcPr>
          <w:p w:rsidR="00F70128" w:rsidRPr="00C66B91" w:rsidRDefault="00F70128" w:rsidP="00F70128">
            <w:pPr>
              <w:jc w:val="right"/>
              <w:rPr>
                <w:color w:val="000000"/>
                <w:sz w:val="22"/>
                <w:szCs w:val="22"/>
                <w:lang w:val="en-GB"/>
              </w:rPr>
            </w:pPr>
            <w:r w:rsidRPr="00C66B91">
              <w:rPr>
                <w:color w:val="000000"/>
                <w:sz w:val="22"/>
                <w:szCs w:val="22"/>
                <w:lang w:val="en-GB"/>
              </w:rPr>
              <w:t>-21</w:t>
            </w:r>
          </w:p>
        </w:tc>
        <w:tc>
          <w:tcPr>
            <w:tcW w:w="680" w:type="pct"/>
            <w:tcBorders>
              <w:top w:val="nil"/>
              <w:left w:val="nil"/>
              <w:bottom w:val="nil"/>
              <w:right w:val="nil"/>
            </w:tcBorders>
            <w:shd w:val="clear" w:color="auto" w:fill="auto"/>
            <w:vAlign w:val="center"/>
          </w:tcPr>
          <w:p w:rsidR="00F70128" w:rsidRPr="00C66B91" w:rsidRDefault="00F70128" w:rsidP="00F70128">
            <w:pPr>
              <w:jc w:val="right"/>
              <w:rPr>
                <w:color w:val="000000"/>
                <w:sz w:val="22"/>
                <w:szCs w:val="22"/>
                <w:lang w:val="en-GB"/>
              </w:rPr>
            </w:pPr>
            <w:r w:rsidRPr="00C66B91">
              <w:rPr>
                <w:color w:val="000000"/>
                <w:sz w:val="22"/>
                <w:szCs w:val="22"/>
                <w:lang w:val="en-GB"/>
              </w:rPr>
              <w:t>-</w:t>
            </w:r>
          </w:p>
        </w:tc>
      </w:tr>
      <w:tr w:rsidR="00F70128" w:rsidRPr="00C66B91" w:rsidTr="00911666">
        <w:trPr>
          <w:trHeight w:val="284"/>
        </w:trPr>
        <w:tc>
          <w:tcPr>
            <w:tcW w:w="3405" w:type="pct"/>
            <w:tcBorders>
              <w:top w:val="nil"/>
              <w:left w:val="nil"/>
              <w:bottom w:val="nil"/>
              <w:right w:val="nil"/>
            </w:tcBorders>
            <w:shd w:val="clear" w:color="auto" w:fill="auto"/>
            <w:vAlign w:val="center"/>
          </w:tcPr>
          <w:p w:rsidR="00F70128" w:rsidRPr="00C66B91" w:rsidRDefault="00F70128" w:rsidP="00F70128">
            <w:pPr>
              <w:rPr>
                <w:color w:val="000000"/>
                <w:sz w:val="22"/>
                <w:szCs w:val="22"/>
                <w:lang w:val="en-GB"/>
              </w:rPr>
            </w:pPr>
            <w:r w:rsidRPr="00C66B91">
              <w:rPr>
                <w:color w:val="000000"/>
                <w:sz w:val="22"/>
                <w:szCs w:val="22"/>
                <w:lang w:val="en-GB"/>
              </w:rPr>
              <w:t>Cash and cash equivalents at the beginning of the period</w:t>
            </w:r>
          </w:p>
        </w:tc>
        <w:tc>
          <w:tcPr>
            <w:tcW w:w="915" w:type="pct"/>
            <w:tcBorders>
              <w:top w:val="nil"/>
              <w:left w:val="nil"/>
              <w:bottom w:val="single" w:sz="8" w:space="0" w:color="auto"/>
              <w:right w:val="nil"/>
            </w:tcBorders>
            <w:shd w:val="clear" w:color="auto" w:fill="auto"/>
            <w:vAlign w:val="center"/>
          </w:tcPr>
          <w:p w:rsidR="00F70128" w:rsidRPr="00C66B91" w:rsidRDefault="00F70128" w:rsidP="00F70128">
            <w:pPr>
              <w:jc w:val="right"/>
              <w:rPr>
                <w:color w:val="000000"/>
                <w:sz w:val="22"/>
                <w:szCs w:val="22"/>
                <w:lang w:val="en-GB"/>
              </w:rPr>
            </w:pPr>
            <w:r w:rsidRPr="00C66B91">
              <w:rPr>
                <w:color w:val="000000"/>
                <w:sz w:val="22"/>
                <w:szCs w:val="22"/>
                <w:lang w:val="en-GB"/>
              </w:rPr>
              <w:t>10,986</w:t>
            </w:r>
          </w:p>
        </w:tc>
        <w:tc>
          <w:tcPr>
            <w:tcW w:w="680" w:type="pct"/>
            <w:tcBorders>
              <w:top w:val="nil"/>
              <w:left w:val="nil"/>
              <w:bottom w:val="single" w:sz="8" w:space="0" w:color="auto"/>
              <w:right w:val="nil"/>
            </w:tcBorders>
            <w:shd w:val="clear" w:color="auto" w:fill="auto"/>
            <w:vAlign w:val="center"/>
          </w:tcPr>
          <w:p w:rsidR="00F70128" w:rsidRPr="00C66B91" w:rsidRDefault="00F70128" w:rsidP="00F70128">
            <w:pPr>
              <w:jc w:val="right"/>
              <w:rPr>
                <w:color w:val="000000"/>
                <w:sz w:val="22"/>
                <w:szCs w:val="22"/>
                <w:lang w:val="en-GB"/>
              </w:rPr>
            </w:pPr>
            <w:r w:rsidRPr="00C66B91">
              <w:rPr>
                <w:color w:val="000000"/>
                <w:sz w:val="22"/>
                <w:szCs w:val="22"/>
                <w:lang w:val="en-GB"/>
              </w:rPr>
              <w:t>8,714</w:t>
            </w:r>
          </w:p>
        </w:tc>
      </w:tr>
      <w:tr w:rsidR="00F70128" w:rsidRPr="00C66B91" w:rsidTr="00911666">
        <w:trPr>
          <w:trHeight w:val="284"/>
        </w:trPr>
        <w:tc>
          <w:tcPr>
            <w:tcW w:w="3405" w:type="pct"/>
            <w:tcBorders>
              <w:top w:val="nil"/>
              <w:left w:val="nil"/>
              <w:bottom w:val="nil"/>
              <w:right w:val="nil"/>
            </w:tcBorders>
            <w:shd w:val="clear" w:color="auto" w:fill="auto"/>
            <w:vAlign w:val="center"/>
          </w:tcPr>
          <w:p w:rsidR="00F70128" w:rsidRPr="00C66B91" w:rsidRDefault="00F70128" w:rsidP="00F70128">
            <w:pPr>
              <w:rPr>
                <w:color w:val="000000"/>
                <w:sz w:val="22"/>
                <w:szCs w:val="22"/>
                <w:lang w:val="en-GB"/>
              </w:rPr>
            </w:pPr>
            <w:r w:rsidRPr="00C66B91">
              <w:rPr>
                <w:color w:val="000000"/>
                <w:sz w:val="22"/>
                <w:szCs w:val="22"/>
                <w:lang w:val="en-GB"/>
              </w:rPr>
              <w:t>Cash and cash equivalents at the end of the period</w:t>
            </w:r>
          </w:p>
        </w:tc>
        <w:tc>
          <w:tcPr>
            <w:tcW w:w="915" w:type="pct"/>
            <w:tcBorders>
              <w:top w:val="nil"/>
              <w:left w:val="nil"/>
              <w:bottom w:val="double" w:sz="6" w:space="0" w:color="auto"/>
              <w:right w:val="nil"/>
            </w:tcBorders>
            <w:shd w:val="clear" w:color="auto" w:fill="auto"/>
            <w:vAlign w:val="center"/>
          </w:tcPr>
          <w:p w:rsidR="00F70128" w:rsidRPr="00C66B91" w:rsidRDefault="00F70128" w:rsidP="00F70128">
            <w:pPr>
              <w:jc w:val="right"/>
              <w:rPr>
                <w:color w:val="000000"/>
                <w:sz w:val="22"/>
                <w:szCs w:val="22"/>
                <w:lang w:val="en-GB"/>
              </w:rPr>
            </w:pPr>
            <w:r w:rsidRPr="00C66B91">
              <w:rPr>
                <w:color w:val="000000"/>
                <w:sz w:val="22"/>
                <w:szCs w:val="22"/>
                <w:lang w:val="en-GB"/>
              </w:rPr>
              <w:t>8,475</w:t>
            </w:r>
          </w:p>
        </w:tc>
        <w:tc>
          <w:tcPr>
            <w:tcW w:w="680" w:type="pct"/>
            <w:tcBorders>
              <w:top w:val="nil"/>
              <w:left w:val="nil"/>
              <w:bottom w:val="double" w:sz="6" w:space="0" w:color="auto"/>
              <w:right w:val="nil"/>
            </w:tcBorders>
            <w:shd w:val="clear" w:color="auto" w:fill="auto"/>
            <w:vAlign w:val="center"/>
          </w:tcPr>
          <w:p w:rsidR="00F70128" w:rsidRPr="00C66B91" w:rsidRDefault="00F70128" w:rsidP="00F70128">
            <w:pPr>
              <w:jc w:val="right"/>
              <w:rPr>
                <w:color w:val="000000"/>
                <w:sz w:val="22"/>
                <w:szCs w:val="22"/>
                <w:lang w:val="en-GB"/>
              </w:rPr>
            </w:pPr>
            <w:r w:rsidRPr="00C66B91">
              <w:rPr>
                <w:color w:val="000000"/>
                <w:sz w:val="22"/>
                <w:szCs w:val="22"/>
                <w:lang w:val="en-GB"/>
              </w:rPr>
              <w:t>2,632</w:t>
            </w:r>
          </w:p>
        </w:tc>
      </w:tr>
    </w:tbl>
    <w:p w:rsidR="00E922D1" w:rsidRPr="00C66B91" w:rsidRDefault="00E922D1" w:rsidP="00E922D1">
      <w:pPr>
        <w:pStyle w:val="084cursiefgeeninspring"/>
        <w:spacing w:line="240" w:lineRule="auto"/>
        <w:jc w:val="both"/>
        <w:rPr>
          <w:sz w:val="22"/>
          <w:szCs w:val="22"/>
          <w:lang w:val="en-GB"/>
        </w:rPr>
      </w:pPr>
    </w:p>
    <w:p w:rsidR="0082243E" w:rsidRPr="0082243E" w:rsidRDefault="0082243E" w:rsidP="0082243E">
      <w:pPr>
        <w:keepNext/>
        <w:autoSpaceDE w:val="0"/>
        <w:autoSpaceDN w:val="0"/>
        <w:adjustRightInd w:val="0"/>
        <w:jc w:val="both"/>
        <w:rPr>
          <w:i/>
          <w:iCs/>
          <w:sz w:val="22"/>
          <w:szCs w:val="22"/>
          <w:lang w:val="en-GB" w:eastAsia="bg-BG"/>
        </w:rPr>
      </w:pPr>
      <w:r w:rsidRPr="0082243E">
        <w:rPr>
          <w:i/>
          <w:iCs/>
          <w:sz w:val="22"/>
          <w:szCs w:val="22"/>
          <w:lang w:val="en-GB" w:eastAsia="bg-BG"/>
        </w:rPr>
        <w:t>The enclosed explanatory notes on pages 1 to 23 are an integral part of the financial statement.</w:t>
      </w:r>
    </w:p>
    <w:p w:rsidR="0082243E" w:rsidRPr="0082243E" w:rsidRDefault="0082243E" w:rsidP="0082243E">
      <w:pPr>
        <w:jc w:val="both"/>
        <w:rPr>
          <w:rFonts w:eastAsia="Times"/>
          <w:sz w:val="22"/>
          <w:szCs w:val="22"/>
          <w:lang w:val="en-GB"/>
        </w:rPr>
      </w:pPr>
    </w:p>
    <w:p w:rsidR="0082243E" w:rsidRPr="0082243E" w:rsidRDefault="0082243E" w:rsidP="0082243E">
      <w:pPr>
        <w:jc w:val="both"/>
        <w:rPr>
          <w:lang w:val="en-GB" w:eastAsia="bg-BG"/>
        </w:rPr>
      </w:pPr>
    </w:p>
    <w:p w:rsidR="0082243E" w:rsidRPr="0082243E" w:rsidRDefault="0082243E" w:rsidP="0082243E">
      <w:pPr>
        <w:jc w:val="both"/>
        <w:rPr>
          <w:lang w:val="en-GB" w:eastAsia="bg-BG"/>
        </w:rPr>
      </w:pPr>
    </w:p>
    <w:tbl>
      <w:tblPr>
        <w:tblW w:w="9484" w:type="dxa"/>
        <w:tblLayout w:type="fixed"/>
        <w:tblLook w:val="0000" w:firstRow="0" w:lastRow="0" w:firstColumn="0" w:lastColumn="0" w:noHBand="0" w:noVBand="0"/>
      </w:tblPr>
      <w:tblGrid>
        <w:gridCol w:w="4977"/>
        <w:gridCol w:w="4507"/>
      </w:tblGrid>
      <w:tr w:rsidR="0082243E" w:rsidRPr="0082243E" w:rsidTr="000554E8">
        <w:trPr>
          <w:trHeight w:val="284"/>
        </w:trPr>
        <w:tc>
          <w:tcPr>
            <w:tcW w:w="4977" w:type="dxa"/>
            <w:tcBorders>
              <w:top w:val="nil"/>
              <w:left w:val="nil"/>
              <w:bottom w:val="nil"/>
              <w:right w:val="nil"/>
            </w:tcBorders>
          </w:tcPr>
          <w:p w:rsidR="0082243E" w:rsidRPr="0082243E" w:rsidRDefault="0082243E" w:rsidP="0082243E">
            <w:pPr>
              <w:rPr>
                <w:lang w:val="en-GB"/>
              </w:rPr>
            </w:pPr>
            <w:r w:rsidRPr="0082243E">
              <w:rPr>
                <w:sz w:val="22"/>
                <w:szCs w:val="22"/>
                <w:lang w:val="en-GB"/>
              </w:rPr>
              <w:t>Executive Director:</w:t>
            </w:r>
          </w:p>
        </w:tc>
        <w:tc>
          <w:tcPr>
            <w:tcW w:w="4507" w:type="dxa"/>
            <w:tcBorders>
              <w:top w:val="nil"/>
              <w:left w:val="nil"/>
              <w:bottom w:val="nil"/>
              <w:right w:val="nil"/>
            </w:tcBorders>
          </w:tcPr>
          <w:p w:rsidR="0082243E" w:rsidRPr="0082243E" w:rsidRDefault="0082243E" w:rsidP="0082243E">
            <w:pPr>
              <w:rPr>
                <w:lang w:val="en-GB"/>
              </w:rPr>
            </w:pPr>
            <w:r w:rsidRPr="0082243E">
              <w:rPr>
                <w:color w:val="241E1C"/>
                <w:spacing w:val="-1"/>
                <w:sz w:val="22"/>
                <w:szCs w:val="22"/>
                <w:lang w:val="en-GB"/>
              </w:rPr>
              <w:t xml:space="preserve">     Chief Accountant</w:t>
            </w:r>
            <w:r w:rsidRPr="0082243E">
              <w:rPr>
                <w:sz w:val="22"/>
                <w:szCs w:val="22"/>
                <w:lang w:val="en-GB"/>
              </w:rPr>
              <w:t>:</w:t>
            </w:r>
          </w:p>
        </w:tc>
      </w:tr>
      <w:tr w:rsidR="0082243E" w:rsidRPr="0082243E" w:rsidTr="000554E8">
        <w:trPr>
          <w:trHeight w:val="284"/>
        </w:trPr>
        <w:tc>
          <w:tcPr>
            <w:tcW w:w="4977" w:type="dxa"/>
            <w:tcBorders>
              <w:top w:val="nil"/>
              <w:left w:val="nil"/>
              <w:bottom w:val="nil"/>
              <w:right w:val="nil"/>
            </w:tcBorders>
          </w:tcPr>
          <w:p w:rsidR="0082243E" w:rsidRPr="0082243E" w:rsidRDefault="0082243E" w:rsidP="0082243E">
            <w:pPr>
              <w:rPr>
                <w:lang w:val="en-GB"/>
              </w:rPr>
            </w:pPr>
            <w:r w:rsidRPr="0082243E">
              <w:rPr>
                <w:sz w:val="22"/>
                <w:szCs w:val="22"/>
                <w:lang w:val="en-GB"/>
              </w:rPr>
              <w:t xml:space="preserve">                                         </w:t>
            </w:r>
            <w:r w:rsidRPr="0082243E">
              <w:rPr>
                <w:color w:val="241E1C"/>
                <w:spacing w:val="-1"/>
                <w:sz w:val="22"/>
                <w:szCs w:val="22"/>
                <w:lang w:val="en-GB"/>
              </w:rPr>
              <w:t>Valery Mektupchiyan</w:t>
            </w:r>
          </w:p>
        </w:tc>
        <w:tc>
          <w:tcPr>
            <w:tcW w:w="4507" w:type="dxa"/>
            <w:tcBorders>
              <w:top w:val="nil"/>
              <w:left w:val="nil"/>
              <w:bottom w:val="nil"/>
              <w:right w:val="nil"/>
            </w:tcBorders>
          </w:tcPr>
          <w:p w:rsidR="0082243E" w:rsidRPr="0082243E" w:rsidRDefault="0082243E" w:rsidP="0082243E">
            <w:pPr>
              <w:rPr>
                <w:lang w:val="en-GB"/>
              </w:rPr>
            </w:pPr>
            <w:r w:rsidRPr="0082243E">
              <w:rPr>
                <w:sz w:val="22"/>
                <w:szCs w:val="22"/>
                <w:lang w:val="en-GB"/>
              </w:rPr>
              <w:t xml:space="preserve">                                         </w:t>
            </w:r>
            <w:r w:rsidRPr="0082243E">
              <w:rPr>
                <w:color w:val="241E1C"/>
                <w:spacing w:val="-1"/>
                <w:sz w:val="22"/>
                <w:szCs w:val="22"/>
                <w:lang w:val="en-GB"/>
              </w:rPr>
              <w:t>Stefka Levidzhova</w:t>
            </w:r>
          </w:p>
        </w:tc>
      </w:tr>
    </w:tbl>
    <w:p w:rsidR="0082243E" w:rsidRPr="0082243E" w:rsidRDefault="0082243E" w:rsidP="0082243E">
      <w:pPr>
        <w:tabs>
          <w:tab w:val="center" w:pos="4678"/>
        </w:tabs>
        <w:jc w:val="both"/>
        <w:rPr>
          <w:b/>
          <w:caps/>
          <w:sz w:val="22"/>
          <w:szCs w:val="22"/>
          <w:lang w:val="en-GB"/>
        </w:rPr>
        <w:sectPr w:rsidR="0082243E" w:rsidRPr="0082243E" w:rsidSect="00C46C22">
          <w:headerReference w:type="default" r:id="rId16"/>
          <w:type w:val="continuous"/>
          <w:pgSz w:w="11907" w:h="16840" w:code="9"/>
          <w:pgMar w:top="1411" w:right="1287" w:bottom="1080" w:left="1260" w:header="708" w:footer="708" w:gutter="0"/>
          <w:cols w:space="708"/>
          <w:noEndnote/>
          <w:titlePg/>
        </w:sectPr>
      </w:pPr>
    </w:p>
    <w:p w:rsidR="0082243E" w:rsidRPr="0082243E" w:rsidRDefault="0082243E" w:rsidP="0082243E">
      <w:pPr>
        <w:tabs>
          <w:tab w:val="center" w:pos="4678"/>
        </w:tabs>
        <w:jc w:val="both"/>
        <w:rPr>
          <w:color w:val="241E1C"/>
          <w:spacing w:val="-1"/>
          <w:sz w:val="22"/>
          <w:szCs w:val="22"/>
          <w:lang w:val="en-GB"/>
        </w:rPr>
      </w:pPr>
    </w:p>
    <w:p w:rsidR="0082243E" w:rsidRPr="0082243E" w:rsidRDefault="0082243E" w:rsidP="0082243E">
      <w:pPr>
        <w:tabs>
          <w:tab w:val="center" w:pos="4678"/>
        </w:tabs>
        <w:jc w:val="both"/>
        <w:rPr>
          <w:caps/>
          <w:sz w:val="22"/>
          <w:szCs w:val="22"/>
          <w:lang w:val="en-GB"/>
        </w:rPr>
      </w:pPr>
      <w:r w:rsidRPr="0082243E">
        <w:rPr>
          <w:color w:val="241E1C"/>
          <w:spacing w:val="-1"/>
          <w:sz w:val="22"/>
          <w:szCs w:val="22"/>
          <w:lang w:val="en-GB"/>
        </w:rPr>
        <w:t>Date:</w:t>
      </w: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sectPr w:rsidR="00E922D1" w:rsidRPr="00C66B91" w:rsidSect="00C46C22">
          <w:headerReference w:type="default" r:id="rId17"/>
          <w:footerReference w:type="default" r:id="rId18"/>
          <w:type w:val="continuous"/>
          <w:pgSz w:w="11907" w:h="16840" w:code="9"/>
          <w:pgMar w:top="1411" w:right="1287" w:bottom="1080" w:left="1260" w:header="708" w:footer="708" w:gutter="0"/>
          <w:cols w:space="708"/>
          <w:noEndnote/>
          <w:titlePg/>
        </w:sectPr>
      </w:pPr>
    </w:p>
    <w:p w:rsidR="00E922D1" w:rsidRPr="00C66B91" w:rsidRDefault="00E922D1" w:rsidP="00E922D1">
      <w:pPr>
        <w:pStyle w:val="TableofFiguresTotal"/>
        <w:tabs>
          <w:tab w:val="center" w:pos="4678"/>
        </w:tabs>
        <w:rPr>
          <w:b w:val="0"/>
          <w:caps/>
          <w:sz w:val="22"/>
          <w:szCs w:val="22"/>
        </w:rPr>
      </w:pPr>
    </w:p>
    <w:p w:rsidR="00E922D1" w:rsidRPr="00C66B91" w:rsidRDefault="00E922D1" w:rsidP="00E922D1">
      <w:pPr>
        <w:pStyle w:val="TableofFiguresTotal"/>
        <w:tabs>
          <w:tab w:val="center" w:pos="4678"/>
        </w:tabs>
        <w:rPr>
          <w:b w:val="0"/>
          <w:caps/>
          <w:sz w:val="22"/>
          <w:szCs w:val="22"/>
        </w:rPr>
      </w:pPr>
    </w:p>
    <w:tbl>
      <w:tblPr>
        <w:tblW w:w="10210" w:type="dxa"/>
        <w:tblLook w:val="04A0" w:firstRow="1" w:lastRow="0" w:firstColumn="1" w:lastColumn="0" w:noHBand="0" w:noVBand="1"/>
      </w:tblPr>
      <w:tblGrid>
        <w:gridCol w:w="3391"/>
        <w:gridCol w:w="1342"/>
        <w:gridCol w:w="1498"/>
        <w:gridCol w:w="1424"/>
        <w:gridCol w:w="1265"/>
        <w:gridCol w:w="1290"/>
      </w:tblGrid>
      <w:tr w:rsidR="00982F61" w:rsidRPr="00C66B91" w:rsidTr="00296E48">
        <w:trPr>
          <w:trHeight w:val="675"/>
        </w:trPr>
        <w:tc>
          <w:tcPr>
            <w:tcW w:w="3391" w:type="dxa"/>
            <w:tcBorders>
              <w:top w:val="nil"/>
              <w:left w:val="nil"/>
              <w:bottom w:val="nil"/>
              <w:right w:val="nil"/>
            </w:tcBorders>
            <w:shd w:val="clear" w:color="auto" w:fill="auto"/>
            <w:vAlign w:val="center"/>
            <w:hideMark/>
          </w:tcPr>
          <w:p w:rsidR="00982F61" w:rsidRPr="00C66B91" w:rsidRDefault="00982F61" w:rsidP="00982F61">
            <w:pPr>
              <w:rPr>
                <w:sz w:val="20"/>
                <w:szCs w:val="20"/>
                <w:lang w:val="en-GB"/>
              </w:rPr>
            </w:pPr>
          </w:p>
        </w:tc>
        <w:tc>
          <w:tcPr>
            <w:tcW w:w="1342" w:type="dxa"/>
            <w:tcBorders>
              <w:top w:val="nil"/>
              <w:left w:val="nil"/>
              <w:bottom w:val="single" w:sz="8" w:space="0" w:color="auto"/>
              <w:right w:val="nil"/>
            </w:tcBorders>
            <w:shd w:val="clear" w:color="auto" w:fill="auto"/>
            <w:vAlign w:val="center"/>
            <w:hideMark/>
          </w:tcPr>
          <w:p w:rsidR="00982F61" w:rsidRPr="00C66B91" w:rsidRDefault="00982F61" w:rsidP="00982F61">
            <w:pPr>
              <w:jc w:val="center"/>
              <w:rPr>
                <w:b/>
                <w:bCs/>
                <w:color w:val="000000"/>
                <w:sz w:val="22"/>
                <w:szCs w:val="22"/>
                <w:lang w:val="en-GB"/>
              </w:rPr>
            </w:pPr>
            <w:r w:rsidRPr="00C66B91">
              <w:rPr>
                <w:b/>
                <w:bCs/>
                <w:color w:val="000000"/>
                <w:sz w:val="22"/>
                <w:szCs w:val="22"/>
                <w:lang w:val="en-GB"/>
              </w:rPr>
              <w:t>Share capital</w:t>
            </w:r>
          </w:p>
        </w:tc>
        <w:tc>
          <w:tcPr>
            <w:tcW w:w="1498" w:type="dxa"/>
            <w:tcBorders>
              <w:top w:val="nil"/>
              <w:left w:val="nil"/>
              <w:bottom w:val="single" w:sz="8" w:space="0" w:color="auto"/>
              <w:right w:val="nil"/>
            </w:tcBorders>
            <w:shd w:val="clear" w:color="auto" w:fill="auto"/>
            <w:vAlign w:val="center"/>
            <w:hideMark/>
          </w:tcPr>
          <w:p w:rsidR="00982F61" w:rsidRPr="00C66B91" w:rsidRDefault="00982F61" w:rsidP="00982F61">
            <w:pPr>
              <w:jc w:val="center"/>
              <w:rPr>
                <w:b/>
                <w:bCs/>
                <w:color w:val="000000"/>
                <w:sz w:val="22"/>
                <w:szCs w:val="22"/>
                <w:lang w:val="en-GB"/>
              </w:rPr>
            </w:pPr>
            <w:r w:rsidRPr="00C66B91">
              <w:rPr>
                <w:b/>
                <w:bCs/>
                <w:color w:val="000000"/>
                <w:sz w:val="22"/>
                <w:szCs w:val="22"/>
                <w:lang w:val="en-GB"/>
              </w:rPr>
              <w:t>Statutory reserves</w:t>
            </w:r>
          </w:p>
        </w:tc>
        <w:tc>
          <w:tcPr>
            <w:tcW w:w="1424" w:type="dxa"/>
            <w:tcBorders>
              <w:top w:val="nil"/>
              <w:left w:val="nil"/>
              <w:bottom w:val="single" w:sz="8" w:space="0" w:color="auto"/>
              <w:right w:val="nil"/>
            </w:tcBorders>
            <w:shd w:val="clear" w:color="auto" w:fill="auto"/>
            <w:vAlign w:val="center"/>
            <w:hideMark/>
          </w:tcPr>
          <w:p w:rsidR="00982F61" w:rsidRPr="00C66B91" w:rsidRDefault="00982F61" w:rsidP="00982F61">
            <w:pPr>
              <w:jc w:val="center"/>
              <w:rPr>
                <w:b/>
                <w:bCs/>
                <w:color w:val="000000"/>
                <w:sz w:val="22"/>
                <w:szCs w:val="22"/>
                <w:lang w:val="en-GB"/>
              </w:rPr>
            </w:pPr>
            <w:r w:rsidRPr="00C66B91">
              <w:rPr>
                <w:b/>
                <w:bCs/>
                <w:color w:val="000000"/>
                <w:sz w:val="22"/>
                <w:szCs w:val="22"/>
                <w:lang w:val="en-GB"/>
              </w:rPr>
              <w:t>Premium reserves</w:t>
            </w:r>
          </w:p>
        </w:tc>
        <w:tc>
          <w:tcPr>
            <w:tcW w:w="1265" w:type="dxa"/>
            <w:tcBorders>
              <w:top w:val="nil"/>
              <w:left w:val="nil"/>
              <w:bottom w:val="single" w:sz="8" w:space="0" w:color="auto"/>
              <w:right w:val="nil"/>
            </w:tcBorders>
            <w:shd w:val="clear" w:color="auto" w:fill="auto"/>
            <w:vAlign w:val="center"/>
            <w:hideMark/>
          </w:tcPr>
          <w:p w:rsidR="00982F61" w:rsidRPr="00C66B91" w:rsidRDefault="00982F61" w:rsidP="00982F61">
            <w:pPr>
              <w:jc w:val="center"/>
              <w:rPr>
                <w:b/>
                <w:bCs/>
                <w:color w:val="000000"/>
                <w:sz w:val="22"/>
                <w:szCs w:val="22"/>
                <w:lang w:val="en-GB"/>
              </w:rPr>
            </w:pPr>
            <w:r w:rsidRPr="00C66B91">
              <w:rPr>
                <w:b/>
                <w:bCs/>
                <w:color w:val="000000"/>
                <w:sz w:val="22"/>
                <w:szCs w:val="22"/>
                <w:lang w:val="en-GB"/>
              </w:rPr>
              <w:t>Financial result</w:t>
            </w:r>
          </w:p>
        </w:tc>
        <w:tc>
          <w:tcPr>
            <w:tcW w:w="1290" w:type="dxa"/>
            <w:tcBorders>
              <w:top w:val="nil"/>
              <w:left w:val="nil"/>
              <w:bottom w:val="single" w:sz="8" w:space="0" w:color="auto"/>
              <w:right w:val="nil"/>
            </w:tcBorders>
            <w:shd w:val="clear" w:color="auto" w:fill="auto"/>
            <w:vAlign w:val="center"/>
            <w:hideMark/>
          </w:tcPr>
          <w:p w:rsidR="00982F61" w:rsidRPr="00C66B91" w:rsidRDefault="00982F61" w:rsidP="00982F61">
            <w:pPr>
              <w:jc w:val="center"/>
              <w:rPr>
                <w:b/>
                <w:bCs/>
                <w:color w:val="000000"/>
                <w:sz w:val="22"/>
                <w:szCs w:val="22"/>
                <w:lang w:val="en-GB"/>
              </w:rPr>
            </w:pPr>
            <w:r w:rsidRPr="00C66B91">
              <w:rPr>
                <w:b/>
                <w:bCs/>
                <w:color w:val="000000"/>
                <w:sz w:val="22"/>
                <w:szCs w:val="22"/>
                <w:lang w:val="en-GB"/>
              </w:rPr>
              <w:t xml:space="preserve">Total </w:t>
            </w:r>
          </w:p>
        </w:tc>
      </w:tr>
      <w:tr w:rsidR="00911666" w:rsidRPr="00C66B91" w:rsidTr="00296E48">
        <w:trPr>
          <w:trHeight w:val="437"/>
        </w:trPr>
        <w:tc>
          <w:tcPr>
            <w:tcW w:w="3391" w:type="dxa"/>
            <w:tcBorders>
              <w:top w:val="nil"/>
              <w:left w:val="nil"/>
              <w:bottom w:val="nil"/>
              <w:right w:val="nil"/>
            </w:tcBorders>
            <w:shd w:val="clear" w:color="auto" w:fill="auto"/>
            <w:vAlign w:val="center"/>
            <w:hideMark/>
          </w:tcPr>
          <w:p w:rsidR="00911666" w:rsidRPr="00C66B91" w:rsidRDefault="00911666">
            <w:pPr>
              <w:jc w:val="center"/>
              <w:rPr>
                <w:b/>
                <w:bCs/>
                <w:color w:val="000000"/>
                <w:sz w:val="22"/>
                <w:szCs w:val="22"/>
                <w:lang w:val="en-GB"/>
              </w:rPr>
            </w:pPr>
          </w:p>
        </w:tc>
        <w:tc>
          <w:tcPr>
            <w:tcW w:w="1342" w:type="dxa"/>
            <w:tcBorders>
              <w:top w:val="nil"/>
              <w:left w:val="nil"/>
              <w:bottom w:val="nil"/>
              <w:right w:val="nil"/>
            </w:tcBorders>
            <w:shd w:val="clear" w:color="auto" w:fill="auto"/>
            <w:vAlign w:val="center"/>
            <w:hideMark/>
          </w:tcPr>
          <w:p w:rsidR="00911666" w:rsidRPr="00C66B91" w:rsidRDefault="00911666">
            <w:pPr>
              <w:rPr>
                <w:b/>
                <w:bCs/>
                <w:color w:val="000000"/>
                <w:sz w:val="22"/>
                <w:szCs w:val="22"/>
                <w:lang w:val="en-GB"/>
              </w:rPr>
            </w:pPr>
            <w:r w:rsidRPr="00C66B91">
              <w:rPr>
                <w:b/>
                <w:bCs/>
                <w:color w:val="000000"/>
                <w:sz w:val="22"/>
                <w:szCs w:val="22"/>
                <w:lang w:val="en-GB"/>
              </w:rPr>
              <w:t xml:space="preserve"> BGN</w:t>
            </w:r>
            <w:r w:rsidR="00982F61" w:rsidRPr="00C66B91">
              <w:rPr>
                <w:b/>
                <w:bCs/>
                <w:color w:val="000000"/>
                <w:sz w:val="22"/>
                <w:szCs w:val="22"/>
                <w:lang w:val="en-GB"/>
              </w:rPr>
              <w:t xml:space="preserve"> </w:t>
            </w:r>
            <w:r w:rsidRPr="00C66B91">
              <w:rPr>
                <w:b/>
                <w:bCs/>
                <w:color w:val="000000"/>
                <w:sz w:val="22"/>
                <w:szCs w:val="22"/>
                <w:lang w:val="en-GB"/>
              </w:rPr>
              <w:t>’000</w:t>
            </w:r>
          </w:p>
        </w:tc>
        <w:tc>
          <w:tcPr>
            <w:tcW w:w="1498" w:type="dxa"/>
            <w:tcBorders>
              <w:top w:val="nil"/>
              <w:left w:val="nil"/>
              <w:bottom w:val="nil"/>
              <w:right w:val="nil"/>
            </w:tcBorders>
            <w:shd w:val="clear" w:color="auto" w:fill="auto"/>
            <w:vAlign w:val="center"/>
            <w:hideMark/>
          </w:tcPr>
          <w:p w:rsidR="00911666" w:rsidRPr="00C66B91" w:rsidRDefault="00911666">
            <w:pPr>
              <w:jc w:val="center"/>
              <w:rPr>
                <w:b/>
                <w:bCs/>
                <w:color w:val="000000"/>
                <w:sz w:val="22"/>
                <w:szCs w:val="22"/>
                <w:lang w:val="en-GB"/>
              </w:rPr>
            </w:pPr>
            <w:r w:rsidRPr="00C66B91">
              <w:rPr>
                <w:b/>
                <w:bCs/>
                <w:color w:val="000000"/>
                <w:sz w:val="22"/>
                <w:szCs w:val="22"/>
                <w:lang w:val="en-GB"/>
              </w:rPr>
              <w:t xml:space="preserve">    BGN</w:t>
            </w:r>
            <w:r w:rsidR="00982F61" w:rsidRPr="00C66B91">
              <w:rPr>
                <w:b/>
                <w:bCs/>
                <w:color w:val="000000"/>
                <w:sz w:val="22"/>
                <w:szCs w:val="22"/>
                <w:lang w:val="en-GB"/>
              </w:rPr>
              <w:t xml:space="preserve"> </w:t>
            </w:r>
            <w:r w:rsidRPr="00C66B91">
              <w:rPr>
                <w:b/>
                <w:bCs/>
                <w:color w:val="000000"/>
                <w:sz w:val="22"/>
                <w:szCs w:val="22"/>
                <w:lang w:val="en-GB"/>
              </w:rPr>
              <w:t>’000</w:t>
            </w:r>
          </w:p>
        </w:tc>
        <w:tc>
          <w:tcPr>
            <w:tcW w:w="1424" w:type="dxa"/>
            <w:tcBorders>
              <w:top w:val="nil"/>
              <w:left w:val="nil"/>
              <w:bottom w:val="nil"/>
              <w:right w:val="nil"/>
            </w:tcBorders>
            <w:shd w:val="clear" w:color="auto" w:fill="auto"/>
            <w:vAlign w:val="center"/>
            <w:hideMark/>
          </w:tcPr>
          <w:p w:rsidR="00911666" w:rsidRPr="00C66B91" w:rsidRDefault="00911666">
            <w:pPr>
              <w:rPr>
                <w:b/>
                <w:bCs/>
                <w:color w:val="000000"/>
                <w:sz w:val="22"/>
                <w:szCs w:val="22"/>
                <w:lang w:val="en-GB"/>
              </w:rPr>
            </w:pPr>
            <w:r w:rsidRPr="00C66B91">
              <w:rPr>
                <w:b/>
                <w:bCs/>
                <w:color w:val="000000"/>
                <w:sz w:val="22"/>
                <w:szCs w:val="22"/>
                <w:lang w:val="en-GB"/>
              </w:rPr>
              <w:t xml:space="preserve">   BGN</w:t>
            </w:r>
            <w:r w:rsidR="00982F61" w:rsidRPr="00C66B91">
              <w:rPr>
                <w:b/>
                <w:bCs/>
                <w:color w:val="000000"/>
                <w:sz w:val="22"/>
                <w:szCs w:val="22"/>
                <w:lang w:val="en-GB"/>
              </w:rPr>
              <w:t xml:space="preserve"> </w:t>
            </w:r>
            <w:r w:rsidRPr="00C66B91">
              <w:rPr>
                <w:b/>
                <w:bCs/>
                <w:color w:val="000000"/>
                <w:sz w:val="22"/>
                <w:szCs w:val="22"/>
                <w:lang w:val="en-GB"/>
              </w:rPr>
              <w:t>’000</w:t>
            </w:r>
          </w:p>
        </w:tc>
        <w:tc>
          <w:tcPr>
            <w:tcW w:w="1265" w:type="dxa"/>
            <w:tcBorders>
              <w:top w:val="nil"/>
              <w:left w:val="nil"/>
              <w:bottom w:val="nil"/>
              <w:right w:val="nil"/>
            </w:tcBorders>
            <w:shd w:val="clear" w:color="auto" w:fill="auto"/>
            <w:vAlign w:val="center"/>
            <w:hideMark/>
          </w:tcPr>
          <w:p w:rsidR="00911666" w:rsidRPr="00C66B91" w:rsidRDefault="00911666" w:rsidP="00982F61">
            <w:pPr>
              <w:ind w:left="-108"/>
              <w:rPr>
                <w:b/>
                <w:bCs/>
                <w:color w:val="000000"/>
                <w:sz w:val="22"/>
                <w:szCs w:val="22"/>
                <w:lang w:val="en-GB"/>
              </w:rPr>
            </w:pPr>
            <w:r w:rsidRPr="00C66B91">
              <w:rPr>
                <w:b/>
                <w:bCs/>
                <w:color w:val="000000"/>
                <w:sz w:val="22"/>
                <w:szCs w:val="22"/>
                <w:lang w:val="en-GB"/>
              </w:rPr>
              <w:t xml:space="preserve">   BGN</w:t>
            </w:r>
            <w:r w:rsidR="00982F61" w:rsidRPr="00C66B91">
              <w:rPr>
                <w:b/>
                <w:bCs/>
                <w:color w:val="000000"/>
                <w:sz w:val="22"/>
                <w:szCs w:val="22"/>
                <w:lang w:val="en-GB"/>
              </w:rPr>
              <w:t xml:space="preserve"> </w:t>
            </w:r>
            <w:r w:rsidRPr="00C66B91">
              <w:rPr>
                <w:b/>
                <w:bCs/>
                <w:color w:val="000000"/>
                <w:sz w:val="22"/>
                <w:szCs w:val="22"/>
                <w:lang w:val="en-GB"/>
              </w:rPr>
              <w:t>’000</w:t>
            </w:r>
          </w:p>
        </w:tc>
        <w:tc>
          <w:tcPr>
            <w:tcW w:w="1290" w:type="dxa"/>
            <w:tcBorders>
              <w:top w:val="nil"/>
              <w:left w:val="nil"/>
              <w:bottom w:val="nil"/>
              <w:right w:val="nil"/>
            </w:tcBorders>
            <w:shd w:val="clear" w:color="auto" w:fill="auto"/>
            <w:vAlign w:val="center"/>
            <w:hideMark/>
          </w:tcPr>
          <w:p w:rsidR="00911666" w:rsidRPr="00C66B91" w:rsidRDefault="00911666">
            <w:pPr>
              <w:jc w:val="center"/>
              <w:rPr>
                <w:b/>
                <w:bCs/>
                <w:color w:val="000000"/>
                <w:sz w:val="22"/>
                <w:szCs w:val="22"/>
                <w:lang w:val="en-GB"/>
              </w:rPr>
            </w:pPr>
            <w:r w:rsidRPr="00C66B91">
              <w:rPr>
                <w:b/>
                <w:bCs/>
                <w:color w:val="000000"/>
                <w:sz w:val="22"/>
                <w:szCs w:val="22"/>
                <w:lang w:val="en-GB"/>
              </w:rPr>
              <w:t>BGN</w:t>
            </w:r>
            <w:r w:rsidR="00982F61" w:rsidRPr="00C66B91">
              <w:rPr>
                <w:b/>
                <w:bCs/>
                <w:color w:val="000000"/>
                <w:sz w:val="22"/>
                <w:szCs w:val="22"/>
                <w:lang w:val="en-GB"/>
              </w:rPr>
              <w:t xml:space="preserve"> </w:t>
            </w:r>
            <w:r w:rsidRPr="00C66B91">
              <w:rPr>
                <w:b/>
                <w:bCs/>
                <w:color w:val="000000"/>
                <w:sz w:val="22"/>
                <w:szCs w:val="22"/>
                <w:lang w:val="en-GB"/>
              </w:rPr>
              <w:t>’000</w:t>
            </w:r>
          </w:p>
        </w:tc>
      </w:tr>
      <w:tr w:rsidR="00911666" w:rsidRPr="00C66B91" w:rsidTr="00296E48">
        <w:trPr>
          <w:trHeight w:val="278"/>
        </w:trPr>
        <w:tc>
          <w:tcPr>
            <w:tcW w:w="3391" w:type="dxa"/>
            <w:tcBorders>
              <w:top w:val="nil"/>
              <w:left w:val="nil"/>
              <w:bottom w:val="nil"/>
              <w:right w:val="nil"/>
            </w:tcBorders>
            <w:shd w:val="clear" w:color="auto" w:fill="auto"/>
            <w:vAlign w:val="center"/>
            <w:hideMark/>
          </w:tcPr>
          <w:p w:rsidR="00911666" w:rsidRPr="00C66B91" w:rsidRDefault="00911666">
            <w:pPr>
              <w:jc w:val="center"/>
              <w:rPr>
                <w:b/>
                <w:bCs/>
                <w:color w:val="000000"/>
                <w:sz w:val="22"/>
                <w:szCs w:val="22"/>
                <w:lang w:val="en-GB"/>
              </w:rPr>
            </w:pPr>
          </w:p>
        </w:tc>
        <w:tc>
          <w:tcPr>
            <w:tcW w:w="1342" w:type="dxa"/>
            <w:tcBorders>
              <w:top w:val="nil"/>
              <w:left w:val="nil"/>
              <w:bottom w:val="single" w:sz="8" w:space="0" w:color="auto"/>
              <w:right w:val="nil"/>
            </w:tcBorders>
            <w:shd w:val="clear" w:color="auto" w:fill="auto"/>
            <w:vAlign w:val="center"/>
            <w:hideMark/>
          </w:tcPr>
          <w:p w:rsidR="00911666" w:rsidRPr="00C66B91" w:rsidRDefault="00911666">
            <w:pPr>
              <w:jc w:val="right"/>
              <w:rPr>
                <w:b/>
                <w:bCs/>
                <w:color w:val="000000"/>
                <w:lang w:val="en-GB"/>
              </w:rPr>
            </w:pPr>
            <w:r w:rsidRPr="00C66B91">
              <w:rPr>
                <w:b/>
                <w:bCs/>
                <w:color w:val="000000"/>
                <w:lang w:val="en-GB"/>
              </w:rPr>
              <w:t> </w:t>
            </w:r>
          </w:p>
        </w:tc>
        <w:tc>
          <w:tcPr>
            <w:tcW w:w="1498" w:type="dxa"/>
            <w:tcBorders>
              <w:top w:val="nil"/>
              <w:left w:val="nil"/>
              <w:bottom w:val="single" w:sz="8" w:space="0" w:color="auto"/>
              <w:right w:val="nil"/>
            </w:tcBorders>
            <w:shd w:val="clear" w:color="auto" w:fill="auto"/>
            <w:vAlign w:val="center"/>
            <w:hideMark/>
          </w:tcPr>
          <w:p w:rsidR="00911666" w:rsidRPr="00C66B91" w:rsidRDefault="00911666">
            <w:pPr>
              <w:jc w:val="right"/>
              <w:rPr>
                <w:b/>
                <w:bCs/>
                <w:color w:val="000000"/>
                <w:lang w:val="en-GB"/>
              </w:rPr>
            </w:pPr>
            <w:r w:rsidRPr="00C66B91">
              <w:rPr>
                <w:b/>
                <w:bCs/>
                <w:color w:val="000000"/>
                <w:lang w:val="en-GB"/>
              </w:rPr>
              <w:t> </w:t>
            </w:r>
          </w:p>
        </w:tc>
        <w:tc>
          <w:tcPr>
            <w:tcW w:w="1424" w:type="dxa"/>
            <w:tcBorders>
              <w:top w:val="nil"/>
              <w:left w:val="nil"/>
              <w:bottom w:val="single" w:sz="8" w:space="0" w:color="auto"/>
              <w:right w:val="nil"/>
            </w:tcBorders>
            <w:shd w:val="clear" w:color="auto" w:fill="auto"/>
            <w:vAlign w:val="center"/>
            <w:hideMark/>
          </w:tcPr>
          <w:p w:rsidR="00911666" w:rsidRPr="00C66B91" w:rsidRDefault="00911666">
            <w:pPr>
              <w:jc w:val="right"/>
              <w:rPr>
                <w:b/>
                <w:bCs/>
                <w:color w:val="000000"/>
                <w:lang w:val="en-GB"/>
              </w:rPr>
            </w:pPr>
            <w:r w:rsidRPr="00C66B91">
              <w:rPr>
                <w:b/>
                <w:bCs/>
                <w:color w:val="000000"/>
                <w:lang w:val="en-GB"/>
              </w:rPr>
              <w:t> </w:t>
            </w:r>
          </w:p>
        </w:tc>
        <w:tc>
          <w:tcPr>
            <w:tcW w:w="1265" w:type="dxa"/>
            <w:tcBorders>
              <w:top w:val="nil"/>
              <w:left w:val="nil"/>
              <w:bottom w:val="single" w:sz="8" w:space="0" w:color="auto"/>
              <w:right w:val="nil"/>
            </w:tcBorders>
            <w:shd w:val="clear" w:color="auto" w:fill="auto"/>
            <w:vAlign w:val="center"/>
            <w:hideMark/>
          </w:tcPr>
          <w:p w:rsidR="00911666" w:rsidRPr="00C66B91" w:rsidRDefault="00911666">
            <w:pPr>
              <w:jc w:val="right"/>
              <w:rPr>
                <w:b/>
                <w:bCs/>
                <w:color w:val="000000"/>
                <w:lang w:val="en-GB"/>
              </w:rPr>
            </w:pPr>
            <w:r w:rsidRPr="00C66B91">
              <w:rPr>
                <w:b/>
                <w:bCs/>
                <w:color w:val="000000"/>
                <w:lang w:val="en-GB"/>
              </w:rPr>
              <w:t> </w:t>
            </w:r>
          </w:p>
        </w:tc>
        <w:tc>
          <w:tcPr>
            <w:tcW w:w="1290" w:type="dxa"/>
            <w:tcBorders>
              <w:top w:val="nil"/>
              <w:left w:val="nil"/>
              <w:bottom w:val="single" w:sz="8" w:space="0" w:color="auto"/>
              <w:right w:val="nil"/>
            </w:tcBorders>
            <w:shd w:val="clear" w:color="auto" w:fill="auto"/>
            <w:vAlign w:val="center"/>
            <w:hideMark/>
          </w:tcPr>
          <w:p w:rsidR="00911666" w:rsidRPr="00C66B91" w:rsidRDefault="00911666">
            <w:pPr>
              <w:jc w:val="right"/>
              <w:rPr>
                <w:b/>
                <w:bCs/>
                <w:color w:val="000000"/>
                <w:lang w:val="en-GB"/>
              </w:rPr>
            </w:pPr>
            <w:r w:rsidRPr="00C66B91">
              <w:rPr>
                <w:b/>
                <w:bCs/>
                <w:color w:val="000000"/>
                <w:lang w:val="en-GB"/>
              </w:rPr>
              <w:t> </w:t>
            </w:r>
          </w:p>
        </w:tc>
      </w:tr>
      <w:tr w:rsidR="00982F61" w:rsidRPr="00C66B91" w:rsidTr="00296E48">
        <w:trPr>
          <w:trHeight w:val="675"/>
        </w:trPr>
        <w:tc>
          <w:tcPr>
            <w:tcW w:w="3391" w:type="dxa"/>
            <w:tcBorders>
              <w:top w:val="nil"/>
              <w:left w:val="nil"/>
              <w:bottom w:val="nil"/>
              <w:right w:val="nil"/>
            </w:tcBorders>
            <w:shd w:val="clear" w:color="auto" w:fill="auto"/>
            <w:vAlign w:val="center"/>
            <w:hideMark/>
          </w:tcPr>
          <w:p w:rsidR="00982F61" w:rsidRPr="00C66B91" w:rsidRDefault="00982F61" w:rsidP="00982F61">
            <w:pPr>
              <w:rPr>
                <w:b/>
                <w:bCs/>
                <w:color w:val="000000"/>
                <w:sz w:val="22"/>
                <w:szCs w:val="22"/>
                <w:lang w:val="en-GB"/>
              </w:rPr>
            </w:pPr>
            <w:r w:rsidRPr="00C66B91">
              <w:rPr>
                <w:b/>
                <w:bCs/>
                <w:color w:val="000000"/>
                <w:sz w:val="22"/>
                <w:szCs w:val="22"/>
                <w:lang w:val="en-GB"/>
              </w:rPr>
              <w:t xml:space="preserve">Balance as of 1 January 2014 </w:t>
            </w:r>
          </w:p>
        </w:tc>
        <w:tc>
          <w:tcPr>
            <w:tcW w:w="1342"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4,447</w:t>
            </w:r>
          </w:p>
        </w:tc>
        <w:tc>
          <w:tcPr>
            <w:tcW w:w="1498"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448</w:t>
            </w:r>
          </w:p>
        </w:tc>
        <w:tc>
          <w:tcPr>
            <w:tcW w:w="1424"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w:t>
            </w:r>
          </w:p>
        </w:tc>
        <w:tc>
          <w:tcPr>
            <w:tcW w:w="1265"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10,038</w:t>
            </w:r>
          </w:p>
        </w:tc>
        <w:tc>
          <w:tcPr>
            <w:tcW w:w="1290"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14,933</w:t>
            </w:r>
          </w:p>
        </w:tc>
      </w:tr>
      <w:tr w:rsidR="00982F61" w:rsidRPr="00C66B91" w:rsidTr="00296E48">
        <w:trPr>
          <w:trHeight w:val="285"/>
        </w:trPr>
        <w:tc>
          <w:tcPr>
            <w:tcW w:w="3391" w:type="dxa"/>
            <w:tcBorders>
              <w:top w:val="nil"/>
              <w:left w:val="nil"/>
              <w:bottom w:val="nil"/>
              <w:right w:val="nil"/>
            </w:tcBorders>
            <w:shd w:val="clear" w:color="auto" w:fill="auto"/>
            <w:vAlign w:val="center"/>
            <w:hideMark/>
          </w:tcPr>
          <w:p w:rsidR="00982F61" w:rsidRPr="00C66B91" w:rsidRDefault="00982F61" w:rsidP="00982F61">
            <w:pPr>
              <w:jc w:val="right"/>
              <w:rPr>
                <w:b/>
                <w:bCs/>
                <w:color w:val="000000"/>
                <w:sz w:val="22"/>
                <w:szCs w:val="22"/>
                <w:lang w:val="en-GB"/>
              </w:rPr>
            </w:pPr>
          </w:p>
        </w:tc>
        <w:tc>
          <w:tcPr>
            <w:tcW w:w="1342" w:type="dxa"/>
            <w:tcBorders>
              <w:top w:val="nil"/>
              <w:left w:val="nil"/>
              <w:bottom w:val="nil"/>
              <w:right w:val="nil"/>
            </w:tcBorders>
            <w:shd w:val="clear" w:color="auto" w:fill="auto"/>
            <w:vAlign w:val="center"/>
            <w:hideMark/>
          </w:tcPr>
          <w:p w:rsidR="00982F61" w:rsidRPr="00C66B91" w:rsidRDefault="00982F61" w:rsidP="00982F61">
            <w:pPr>
              <w:rPr>
                <w:sz w:val="20"/>
                <w:szCs w:val="20"/>
                <w:lang w:val="en-GB"/>
              </w:rPr>
            </w:pPr>
          </w:p>
        </w:tc>
        <w:tc>
          <w:tcPr>
            <w:tcW w:w="1498"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424"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265"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290"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r>
      <w:tr w:rsidR="00982F61" w:rsidRPr="00C66B91" w:rsidTr="00296E48">
        <w:trPr>
          <w:trHeight w:val="675"/>
        </w:trPr>
        <w:tc>
          <w:tcPr>
            <w:tcW w:w="3391" w:type="dxa"/>
            <w:tcBorders>
              <w:top w:val="nil"/>
              <w:left w:val="nil"/>
              <w:bottom w:val="nil"/>
              <w:right w:val="nil"/>
            </w:tcBorders>
            <w:shd w:val="clear" w:color="auto" w:fill="auto"/>
            <w:vAlign w:val="center"/>
            <w:hideMark/>
          </w:tcPr>
          <w:p w:rsidR="00982F61" w:rsidRPr="00C66B91" w:rsidRDefault="00982F61" w:rsidP="00982F61">
            <w:pPr>
              <w:rPr>
                <w:color w:val="000000"/>
                <w:sz w:val="22"/>
                <w:szCs w:val="22"/>
                <w:lang w:val="en-GB"/>
              </w:rPr>
            </w:pPr>
            <w:r w:rsidRPr="00C66B91">
              <w:rPr>
                <w:color w:val="000000"/>
                <w:sz w:val="22"/>
                <w:szCs w:val="22"/>
                <w:lang w:val="en-GB"/>
              </w:rPr>
              <w:t xml:space="preserve">Issuance of shares </w:t>
            </w:r>
          </w:p>
        </w:tc>
        <w:tc>
          <w:tcPr>
            <w:tcW w:w="1342" w:type="dxa"/>
            <w:tcBorders>
              <w:top w:val="nil"/>
              <w:left w:val="nil"/>
              <w:bottom w:val="nil"/>
              <w:right w:val="nil"/>
            </w:tcBorders>
            <w:shd w:val="clear" w:color="auto" w:fill="auto"/>
            <w:vAlign w:val="center"/>
            <w:hideMark/>
          </w:tcPr>
          <w:p w:rsidR="00982F61" w:rsidRPr="00C66B91" w:rsidRDefault="00982F61" w:rsidP="00982F61">
            <w:pPr>
              <w:jc w:val="right"/>
              <w:rPr>
                <w:color w:val="000000"/>
                <w:sz w:val="22"/>
                <w:szCs w:val="22"/>
                <w:lang w:val="en-GB"/>
              </w:rPr>
            </w:pPr>
            <w:r w:rsidRPr="00C66B91">
              <w:rPr>
                <w:color w:val="000000"/>
                <w:sz w:val="22"/>
                <w:szCs w:val="22"/>
                <w:lang w:val="en-GB"/>
              </w:rPr>
              <w:t>889</w:t>
            </w:r>
          </w:p>
        </w:tc>
        <w:tc>
          <w:tcPr>
            <w:tcW w:w="1498" w:type="dxa"/>
            <w:tcBorders>
              <w:top w:val="nil"/>
              <w:left w:val="nil"/>
              <w:bottom w:val="nil"/>
              <w:right w:val="nil"/>
            </w:tcBorders>
            <w:shd w:val="clear" w:color="auto" w:fill="auto"/>
            <w:vAlign w:val="center"/>
            <w:hideMark/>
          </w:tcPr>
          <w:p w:rsidR="00982F61" w:rsidRPr="00C66B91" w:rsidRDefault="00982F61" w:rsidP="00982F61">
            <w:pPr>
              <w:jc w:val="right"/>
              <w:rPr>
                <w:color w:val="000000"/>
                <w:sz w:val="22"/>
                <w:szCs w:val="22"/>
                <w:lang w:val="en-GB"/>
              </w:rPr>
            </w:pPr>
            <w:r w:rsidRPr="00C66B91">
              <w:rPr>
                <w:color w:val="000000"/>
                <w:sz w:val="22"/>
                <w:szCs w:val="22"/>
                <w:lang w:val="en-GB"/>
              </w:rPr>
              <w:t>-</w:t>
            </w:r>
          </w:p>
        </w:tc>
        <w:tc>
          <w:tcPr>
            <w:tcW w:w="1424" w:type="dxa"/>
            <w:tcBorders>
              <w:top w:val="nil"/>
              <w:left w:val="nil"/>
              <w:bottom w:val="nil"/>
              <w:right w:val="nil"/>
            </w:tcBorders>
            <w:shd w:val="clear" w:color="auto" w:fill="auto"/>
            <w:vAlign w:val="center"/>
            <w:hideMark/>
          </w:tcPr>
          <w:p w:rsidR="00982F61" w:rsidRPr="00C66B91" w:rsidRDefault="00982F61" w:rsidP="00982F61">
            <w:pPr>
              <w:jc w:val="right"/>
              <w:rPr>
                <w:color w:val="000000"/>
                <w:sz w:val="22"/>
                <w:szCs w:val="22"/>
                <w:lang w:val="en-GB"/>
              </w:rPr>
            </w:pPr>
            <w:r w:rsidRPr="00C66B91">
              <w:rPr>
                <w:color w:val="000000"/>
                <w:sz w:val="22"/>
                <w:szCs w:val="22"/>
                <w:lang w:val="en-GB"/>
              </w:rPr>
              <w:t>19,565</w:t>
            </w:r>
          </w:p>
        </w:tc>
        <w:tc>
          <w:tcPr>
            <w:tcW w:w="1265" w:type="dxa"/>
            <w:tcBorders>
              <w:top w:val="nil"/>
              <w:left w:val="nil"/>
              <w:bottom w:val="nil"/>
              <w:right w:val="nil"/>
            </w:tcBorders>
            <w:shd w:val="clear" w:color="auto" w:fill="auto"/>
            <w:vAlign w:val="center"/>
            <w:hideMark/>
          </w:tcPr>
          <w:p w:rsidR="00982F61" w:rsidRPr="00C66B91" w:rsidRDefault="00982F61" w:rsidP="00982F61">
            <w:pPr>
              <w:jc w:val="right"/>
              <w:rPr>
                <w:color w:val="000000"/>
                <w:sz w:val="22"/>
                <w:szCs w:val="22"/>
                <w:lang w:val="en-GB"/>
              </w:rPr>
            </w:pPr>
            <w:r w:rsidRPr="00C66B91">
              <w:rPr>
                <w:color w:val="000000"/>
                <w:sz w:val="22"/>
                <w:szCs w:val="22"/>
                <w:lang w:val="en-GB"/>
              </w:rPr>
              <w:t>-</w:t>
            </w:r>
          </w:p>
        </w:tc>
        <w:tc>
          <w:tcPr>
            <w:tcW w:w="1290" w:type="dxa"/>
            <w:tcBorders>
              <w:top w:val="nil"/>
              <w:left w:val="nil"/>
              <w:bottom w:val="nil"/>
              <w:right w:val="nil"/>
            </w:tcBorders>
            <w:shd w:val="clear" w:color="auto" w:fill="auto"/>
            <w:vAlign w:val="center"/>
            <w:hideMark/>
          </w:tcPr>
          <w:p w:rsidR="00982F61" w:rsidRPr="00C66B91" w:rsidRDefault="00982F61" w:rsidP="00982F61">
            <w:pPr>
              <w:jc w:val="right"/>
              <w:rPr>
                <w:color w:val="000000"/>
                <w:sz w:val="22"/>
                <w:szCs w:val="22"/>
                <w:lang w:val="en-GB"/>
              </w:rPr>
            </w:pPr>
            <w:r w:rsidRPr="00C66B91">
              <w:rPr>
                <w:color w:val="000000"/>
                <w:sz w:val="22"/>
                <w:szCs w:val="22"/>
                <w:lang w:val="en-GB"/>
              </w:rPr>
              <w:t>20,454</w:t>
            </w:r>
          </w:p>
        </w:tc>
      </w:tr>
      <w:tr w:rsidR="00982F61" w:rsidRPr="00C66B91" w:rsidTr="00296E48">
        <w:trPr>
          <w:trHeight w:val="320"/>
        </w:trPr>
        <w:tc>
          <w:tcPr>
            <w:tcW w:w="3391" w:type="dxa"/>
            <w:tcBorders>
              <w:top w:val="nil"/>
              <w:left w:val="nil"/>
              <w:bottom w:val="nil"/>
              <w:right w:val="nil"/>
            </w:tcBorders>
            <w:shd w:val="clear" w:color="auto" w:fill="auto"/>
            <w:vAlign w:val="center"/>
            <w:hideMark/>
          </w:tcPr>
          <w:p w:rsidR="00982F61" w:rsidRPr="00C66B91" w:rsidRDefault="00982F61" w:rsidP="00982F61">
            <w:pPr>
              <w:jc w:val="right"/>
              <w:rPr>
                <w:color w:val="000000"/>
                <w:sz w:val="22"/>
                <w:szCs w:val="22"/>
                <w:lang w:val="en-GB"/>
              </w:rPr>
            </w:pPr>
          </w:p>
        </w:tc>
        <w:tc>
          <w:tcPr>
            <w:tcW w:w="1342" w:type="dxa"/>
            <w:tcBorders>
              <w:top w:val="nil"/>
              <w:left w:val="nil"/>
              <w:bottom w:val="nil"/>
              <w:right w:val="nil"/>
            </w:tcBorders>
            <w:shd w:val="clear" w:color="auto" w:fill="auto"/>
            <w:vAlign w:val="center"/>
            <w:hideMark/>
          </w:tcPr>
          <w:p w:rsidR="00982F61" w:rsidRPr="00C66B91" w:rsidRDefault="00982F61" w:rsidP="00982F61">
            <w:pPr>
              <w:rPr>
                <w:sz w:val="20"/>
                <w:szCs w:val="20"/>
                <w:lang w:val="en-GB"/>
              </w:rPr>
            </w:pPr>
          </w:p>
        </w:tc>
        <w:tc>
          <w:tcPr>
            <w:tcW w:w="1498"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424"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265"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290"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r>
      <w:tr w:rsidR="00982F61" w:rsidRPr="00C66B91" w:rsidTr="00296E48">
        <w:trPr>
          <w:trHeight w:val="675"/>
        </w:trPr>
        <w:tc>
          <w:tcPr>
            <w:tcW w:w="3391" w:type="dxa"/>
            <w:tcBorders>
              <w:top w:val="nil"/>
              <w:left w:val="nil"/>
              <w:bottom w:val="nil"/>
              <w:right w:val="nil"/>
            </w:tcBorders>
            <w:shd w:val="clear" w:color="auto" w:fill="auto"/>
            <w:vAlign w:val="center"/>
            <w:hideMark/>
          </w:tcPr>
          <w:p w:rsidR="00982F61" w:rsidRPr="00C66B91" w:rsidRDefault="00982F61" w:rsidP="00982F61">
            <w:pPr>
              <w:rPr>
                <w:color w:val="000000"/>
                <w:sz w:val="22"/>
                <w:szCs w:val="22"/>
                <w:lang w:val="en-GB"/>
              </w:rPr>
            </w:pPr>
            <w:r w:rsidRPr="00C66B91">
              <w:rPr>
                <w:color w:val="000000"/>
                <w:sz w:val="22"/>
                <w:szCs w:val="22"/>
                <w:lang w:val="en-GB"/>
              </w:rPr>
              <w:t>Distribution of profits, incl.</w:t>
            </w:r>
          </w:p>
        </w:tc>
        <w:tc>
          <w:tcPr>
            <w:tcW w:w="1342"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w:t>
            </w:r>
          </w:p>
        </w:tc>
        <w:tc>
          <w:tcPr>
            <w:tcW w:w="1498"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color w:val="000000"/>
                <w:sz w:val="22"/>
                <w:szCs w:val="22"/>
                <w:lang w:val="en-GB"/>
              </w:rPr>
            </w:pPr>
            <w:r w:rsidRPr="00C66B91">
              <w:rPr>
                <w:color w:val="000000"/>
                <w:sz w:val="22"/>
                <w:szCs w:val="22"/>
                <w:lang w:val="en-GB"/>
              </w:rPr>
              <w:t>-</w:t>
            </w:r>
          </w:p>
        </w:tc>
        <w:tc>
          <w:tcPr>
            <w:tcW w:w="1424"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w:t>
            </w:r>
          </w:p>
        </w:tc>
        <w:tc>
          <w:tcPr>
            <w:tcW w:w="1265"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-4,447</w:t>
            </w:r>
          </w:p>
        </w:tc>
        <w:tc>
          <w:tcPr>
            <w:tcW w:w="1290"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-4,447</w:t>
            </w:r>
          </w:p>
        </w:tc>
      </w:tr>
      <w:tr w:rsidR="00982F61" w:rsidRPr="00C66B91" w:rsidTr="00296E48">
        <w:trPr>
          <w:trHeight w:val="428"/>
        </w:trPr>
        <w:tc>
          <w:tcPr>
            <w:tcW w:w="3391" w:type="dxa"/>
            <w:tcBorders>
              <w:top w:val="nil"/>
              <w:left w:val="nil"/>
              <w:bottom w:val="nil"/>
              <w:right w:val="nil"/>
            </w:tcBorders>
            <w:shd w:val="clear" w:color="auto" w:fill="auto"/>
            <w:vAlign w:val="center"/>
            <w:hideMark/>
          </w:tcPr>
          <w:p w:rsidR="00982F61" w:rsidRPr="00C66B91" w:rsidRDefault="00982F61" w:rsidP="00982F61">
            <w:pPr>
              <w:ind w:firstLineChars="300" w:firstLine="660"/>
              <w:rPr>
                <w:color w:val="000000"/>
                <w:sz w:val="22"/>
                <w:szCs w:val="22"/>
                <w:lang w:val="en-GB"/>
              </w:rPr>
            </w:pPr>
            <w:r w:rsidRPr="00C66B91">
              <w:rPr>
                <w:color w:val="000000"/>
                <w:sz w:val="22"/>
                <w:szCs w:val="22"/>
                <w:lang w:val="en-GB"/>
              </w:rPr>
              <w:t>-</w:t>
            </w:r>
            <w:r w:rsidRPr="00C66B91">
              <w:rPr>
                <w:color w:val="000000"/>
                <w:sz w:val="14"/>
                <w:szCs w:val="14"/>
                <w:lang w:val="en-GB"/>
              </w:rPr>
              <w:t xml:space="preserve">               </w:t>
            </w:r>
            <w:r w:rsidRPr="00C66B91">
              <w:rPr>
                <w:i/>
                <w:iCs/>
                <w:color w:val="000000"/>
                <w:sz w:val="22"/>
                <w:szCs w:val="22"/>
                <w:lang w:val="en-GB"/>
              </w:rPr>
              <w:t>Dividends</w:t>
            </w:r>
          </w:p>
        </w:tc>
        <w:tc>
          <w:tcPr>
            <w:tcW w:w="1342" w:type="dxa"/>
            <w:tcBorders>
              <w:top w:val="nil"/>
              <w:left w:val="nil"/>
              <w:bottom w:val="nil"/>
              <w:right w:val="nil"/>
            </w:tcBorders>
            <w:shd w:val="clear" w:color="auto" w:fill="auto"/>
            <w:vAlign w:val="center"/>
            <w:hideMark/>
          </w:tcPr>
          <w:p w:rsidR="00982F61" w:rsidRPr="00C66B91" w:rsidRDefault="00982F61" w:rsidP="00982F61">
            <w:pPr>
              <w:jc w:val="right"/>
              <w:rPr>
                <w:i/>
                <w:iCs/>
                <w:color w:val="000000"/>
                <w:sz w:val="22"/>
                <w:szCs w:val="22"/>
                <w:lang w:val="en-GB"/>
              </w:rPr>
            </w:pPr>
            <w:r w:rsidRPr="00C66B91">
              <w:rPr>
                <w:i/>
                <w:iCs/>
                <w:color w:val="000000"/>
                <w:sz w:val="22"/>
                <w:szCs w:val="22"/>
                <w:lang w:val="en-GB"/>
              </w:rPr>
              <w:t>-</w:t>
            </w:r>
          </w:p>
        </w:tc>
        <w:tc>
          <w:tcPr>
            <w:tcW w:w="1498" w:type="dxa"/>
            <w:tcBorders>
              <w:top w:val="nil"/>
              <w:left w:val="nil"/>
              <w:bottom w:val="nil"/>
              <w:right w:val="nil"/>
            </w:tcBorders>
            <w:shd w:val="clear" w:color="auto" w:fill="auto"/>
            <w:vAlign w:val="center"/>
            <w:hideMark/>
          </w:tcPr>
          <w:p w:rsidR="00982F61" w:rsidRPr="00C66B91" w:rsidRDefault="00982F61" w:rsidP="00982F61">
            <w:pPr>
              <w:jc w:val="right"/>
              <w:rPr>
                <w:i/>
                <w:iCs/>
                <w:color w:val="000000"/>
                <w:sz w:val="22"/>
                <w:szCs w:val="22"/>
                <w:lang w:val="en-GB"/>
              </w:rPr>
            </w:pPr>
            <w:r w:rsidRPr="00C66B91">
              <w:rPr>
                <w:i/>
                <w:iCs/>
                <w:color w:val="000000"/>
                <w:sz w:val="22"/>
                <w:szCs w:val="22"/>
                <w:lang w:val="en-GB"/>
              </w:rPr>
              <w:t>-</w:t>
            </w:r>
          </w:p>
        </w:tc>
        <w:tc>
          <w:tcPr>
            <w:tcW w:w="1424" w:type="dxa"/>
            <w:tcBorders>
              <w:top w:val="nil"/>
              <w:left w:val="nil"/>
              <w:bottom w:val="nil"/>
              <w:right w:val="nil"/>
            </w:tcBorders>
            <w:shd w:val="clear" w:color="auto" w:fill="auto"/>
            <w:vAlign w:val="center"/>
            <w:hideMark/>
          </w:tcPr>
          <w:p w:rsidR="00982F61" w:rsidRPr="00C66B91" w:rsidRDefault="00982F61" w:rsidP="00982F61">
            <w:pPr>
              <w:jc w:val="right"/>
              <w:rPr>
                <w:i/>
                <w:iCs/>
                <w:color w:val="000000"/>
                <w:sz w:val="22"/>
                <w:szCs w:val="22"/>
                <w:lang w:val="en-GB"/>
              </w:rPr>
            </w:pPr>
            <w:r w:rsidRPr="00C66B91">
              <w:rPr>
                <w:i/>
                <w:iCs/>
                <w:color w:val="000000"/>
                <w:sz w:val="22"/>
                <w:szCs w:val="22"/>
                <w:lang w:val="en-GB"/>
              </w:rPr>
              <w:t>-</w:t>
            </w:r>
          </w:p>
        </w:tc>
        <w:tc>
          <w:tcPr>
            <w:tcW w:w="1265" w:type="dxa"/>
            <w:tcBorders>
              <w:top w:val="nil"/>
              <w:left w:val="nil"/>
              <w:bottom w:val="nil"/>
              <w:right w:val="nil"/>
            </w:tcBorders>
            <w:shd w:val="clear" w:color="auto" w:fill="auto"/>
            <w:vAlign w:val="center"/>
            <w:hideMark/>
          </w:tcPr>
          <w:p w:rsidR="00982F61" w:rsidRPr="00C66B91" w:rsidRDefault="00982F61" w:rsidP="00982F61">
            <w:pPr>
              <w:jc w:val="right"/>
              <w:rPr>
                <w:i/>
                <w:iCs/>
                <w:color w:val="000000"/>
                <w:sz w:val="22"/>
                <w:szCs w:val="22"/>
                <w:lang w:val="en-GB"/>
              </w:rPr>
            </w:pPr>
            <w:r w:rsidRPr="00C66B91">
              <w:rPr>
                <w:i/>
                <w:iCs/>
                <w:color w:val="000000"/>
                <w:sz w:val="22"/>
                <w:szCs w:val="22"/>
                <w:lang w:val="en-GB"/>
              </w:rPr>
              <w:t>4,447</w:t>
            </w:r>
          </w:p>
        </w:tc>
        <w:tc>
          <w:tcPr>
            <w:tcW w:w="1290" w:type="dxa"/>
            <w:tcBorders>
              <w:top w:val="nil"/>
              <w:left w:val="nil"/>
              <w:bottom w:val="nil"/>
              <w:right w:val="nil"/>
            </w:tcBorders>
            <w:shd w:val="clear" w:color="auto" w:fill="auto"/>
            <w:vAlign w:val="center"/>
            <w:hideMark/>
          </w:tcPr>
          <w:p w:rsidR="00982F61" w:rsidRPr="00C66B91" w:rsidRDefault="00982F61" w:rsidP="00982F61">
            <w:pPr>
              <w:jc w:val="right"/>
              <w:rPr>
                <w:i/>
                <w:iCs/>
                <w:color w:val="000000"/>
                <w:sz w:val="22"/>
                <w:szCs w:val="22"/>
                <w:lang w:val="en-GB"/>
              </w:rPr>
            </w:pPr>
          </w:p>
        </w:tc>
      </w:tr>
      <w:tr w:rsidR="00982F61" w:rsidRPr="00C66B91" w:rsidTr="00296E48">
        <w:trPr>
          <w:trHeight w:val="298"/>
        </w:trPr>
        <w:tc>
          <w:tcPr>
            <w:tcW w:w="3391"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342" w:type="dxa"/>
            <w:tcBorders>
              <w:top w:val="nil"/>
              <w:left w:val="nil"/>
              <w:bottom w:val="nil"/>
              <w:right w:val="nil"/>
            </w:tcBorders>
            <w:shd w:val="clear" w:color="auto" w:fill="auto"/>
            <w:vAlign w:val="center"/>
            <w:hideMark/>
          </w:tcPr>
          <w:p w:rsidR="00982F61" w:rsidRPr="00C66B91" w:rsidRDefault="00982F61" w:rsidP="00982F61">
            <w:pPr>
              <w:rPr>
                <w:sz w:val="20"/>
                <w:szCs w:val="20"/>
                <w:lang w:val="en-GB"/>
              </w:rPr>
            </w:pPr>
          </w:p>
        </w:tc>
        <w:tc>
          <w:tcPr>
            <w:tcW w:w="1498"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424"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265"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290"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r>
      <w:tr w:rsidR="00982F61" w:rsidRPr="00C66B91" w:rsidTr="00296E48">
        <w:trPr>
          <w:trHeight w:val="416"/>
        </w:trPr>
        <w:tc>
          <w:tcPr>
            <w:tcW w:w="3391" w:type="dxa"/>
            <w:tcBorders>
              <w:top w:val="nil"/>
              <w:left w:val="nil"/>
              <w:bottom w:val="nil"/>
              <w:right w:val="nil"/>
            </w:tcBorders>
            <w:shd w:val="clear" w:color="auto" w:fill="auto"/>
            <w:vAlign w:val="center"/>
            <w:hideMark/>
          </w:tcPr>
          <w:p w:rsidR="00982F61" w:rsidRPr="00C66B91" w:rsidRDefault="00982F61" w:rsidP="00982F61">
            <w:pPr>
              <w:rPr>
                <w:color w:val="000000"/>
                <w:sz w:val="22"/>
                <w:szCs w:val="22"/>
                <w:lang w:val="en-GB"/>
              </w:rPr>
            </w:pPr>
            <w:r w:rsidRPr="00C66B91">
              <w:rPr>
                <w:color w:val="000000"/>
                <w:sz w:val="22"/>
                <w:szCs w:val="22"/>
                <w:lang w:val="en-GB"/>
              </w:rPr>
              <w:t>Profit for the year</w:t>
            </w:r>
          </w:p>
        </w:tc>
        <w:tc>
          <w:tcPr>
            <w:tcW w:w="1342" w:type="dxa"/>
            <w:tcBorders>
              <w:top w:val="nil"/>
              <w:left w:val="nil"/>
              <w:bottom w:val="nil"/>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w:t>
            </w:r>
          </w:p>
        </w:tc>
        <w:tc>
          <w:tcPr>
            <w:tcW w:w="1498" w:type="dxa"/>
            <w:tcBorders>
              <w:top w:val="nil"/>
              <w:left w:val="nil"/>
              <w:bottom w:val="nil"/>
              <w:right w:val="nil"/>
            </w:tcBorders>
            <w:shd w:val="clear" w:color="auto" w:fill="auto"/>
            <w:vAlign w:val="center"/>
            <w:hideMark/>
          </w:tcPr>
          <w:p w:rsidR="00982F61" w:rsidRPr="00C66B91" w:rsidRDefault="00982F61" w:rsidP="00982F61">
            <w:pPr>
              <w:jc w:val="right"/>
              <w:rPr>
                <w:color w:val="000000"/>
                <w:sz w:val="22"/>
                <w:szCs w:val="22"/>
                <w:lang w:val="en-GB"/>
              </w:rPr>
            </w:pPr>
            <w:r w:rsidRPr="00C66B91">
              <w:rPr>
                <w:color w:val="000000"/>
                <w:sz w:val="22"/>
                <w:szCs w:val="22"/>
                <w:lang w:val="en-GB"/>
              </w:rPr>
              <w:t>-</w:t>
            </w:r>
          </w:p>
        </w:tc>
        <w:tc>
          <w:tcPr>
            <w:tcW w:w="1424" w:type="dxa"/>
            <w:tcBorders>
              <w:top w:val="nil"/>
              <w:left w:val="nil"/>
              <w:bottom w:val="nil"/>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w:t>
            </w:r>
          </w:p>
        </w:tc>
        <w:tc>
          <w:tcPr>
            <w:tcW w:w="1265" w:type="dxa"/>
            <w:tcBorders>
              <w:top w:val="nil"/>
              <w:left w:val="nil"/>
              <w:bottom w:val="nil"/>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9,591</w:t>
            </w:r>
          </w:p>
        </w:tc>
        <w:tc>
          <w:tcPr>
            <w:tcW w:w="1290" w:type="dxa"/>
            <w:tcBorders>
              <w:top w:val="nil"/>
              <w:left w:val="nil"/>
              <w:bottom w:val="nil"/>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9,591</w:t>
            </w:r>
          </w:p>
        </w:tc>
      </w:tr>
      <w:tr w:rsidR="00982F61" w:rsidRPr="00C66B91" w:rsidTr="00296E48">
        <w:trPr>
          <w:trHeight w:val="345"/>
        </w:trPr>
        <w:tc>
          <w:tcPr>
            <w:tcW w:w="3391" w:type="dxa"/>
            <w:tcBorders>
              <w:top w:val="nil"/>
              <w:left w:val="nil"/>
              <w:bottom w:val="nil"/>
              <w:right w:val="nil"/>
            </w:tcBorders>
            <w:shd w:val="clear" w:color="auto" w:fill="auto"/>
            <w:vAlign w:val="center"/>
            <w:hideMark/>
          </w:tcPr>
          <w:p w:rsidR="00982F61" w:rsidRPr="00C66B91" w:rsidRDefault="00982F61" w:rsidP="00982F61">
            <w:pPr>
              <w:jc w:val="right"/>
              <w:rPr>
                <w:b/>
                <w:bCs/>
                <w:color w:val="000000"/>
                <w:sz w:val="22"/>
                <w:szCs w:val="22"/>
                <w:lang w:val="en-GB"/>
              </w:rPr>
            </w:pPr>
          </w:p>
        </w:tc>
        <w:tc>
          <w:tcPr>
            <w:tcW w:w="1342" w:type="dxa"/>
            <w:tcBorders>
              <w:top w:val="nil"/>
              <w:left w:val="nil"/>
              <w:bottom w:val="nil"/>
              <w:right w:val="nil"/>
            </w:tcBorders>
            <w:shd w:val="clear" w:color="auto" w:fill="auto"/>
            <w:vAlign w:val="center"/>
            <w:hideMark/>
          </w:tcPr>
          <w:p w:rsidR="00982F61" w:rsidRPr="00C66B91" w:rsidRDefault="00982F61" w:rsidP="00982F61">
            <w:pPr>
              <w:rPr>
                <w:sz w:val="20"/>
                <w:szCs w:val="20"/>
                <w:lang w:val="en-GB"/>
              </w:rPr>
            </w:pPr>
          </w:p>
        </w:tc>
        <w:tc>
          <w:tcPr>
            <w:tcW w:w="1498"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424"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265"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c>
          <w:tcPr>
            <w:tcW w:w="1290" w:type="dxa"/>
            <w:tcBorders>
              <w:top w:val="nil"/>
              <w:left w:val="nil"/>
              <w:bottom w:val="nil"/>
              <w:right w:val="nil"/>
            </w:tcBorders>
            <w:shd w:val="clear" w:color="auto" w:fill="auto"/>
            <w:vAlign w:val="center"/>
            <w:hideMark/>
          </w:tcPr>
          <w:p w:rsidR="00982F61" w:rsidRPr="00C66B91" w:rsidRDefault="00982F61" w:rsidP="00982F61">
            <w:pPr>
              <w:jc w:val="right"/>
              <w:rPr>
                <w:sz w:val="20"/>
                <w:szCs w:val="20"/>
                <w:lang w:val="en-GB"/>
              </w:rPr>
            </w:pPr>
          </w:p>
        </w:tc>
      </w:tr>
      <w:tr w:rsidR="00982F61" w:rsidRPr="00C66B91" w:rsidTr="00296E48">
        <w:trPr>
          <w:trHeight w:val="675"/>
        </w:trPr>
        <w:tc>
          <w:tcPr>
            <w:tcW w:w="3391" w:type="dxa"/>
            <w:tcBorders>
              <w:top w:val="nil"/>
              <w:left w:val="nil"/>
              <w:bottom w:val="nil"/>
              <w:right w:val="nil"/>
            </w:tcBorders>
            <w:shd w:val="clear" w:color="auto" w:fill="auto"/>
            <w:vAlign w:val="center"/>
            <w:hideMark/>
          </w:tcPr>
          <w:p w:rsidR="00982F61" w:rsidRPr="00C66B91" w:rsidRDefault="00982F61" w:rsidP="00982F61">
            <w:pPr>
              <w:rPr>
                <w:b/>
                <w:bCs/>
                <w:color w:val="000000"/>
                <w:sz w:val="22"/>
                <w:szCs w:val="22"/>
                <w:lang w:val="en-GB"/>
              </w:rPr>
            </w:pPr>
            <w:r w:rsidRPr="00C66B91">
              <w:rPr>
                <w:b/>
                <w:bCs/>
                <w:color w:val="000000"/>
                <w:sz w:val="22"/>
                <w:szCs w:val="22"/>
                <w:lang w:val="en-GB"/>
              </w:rPr>
              <w:t>Balance as of 31 December 2014</w:t>
            </w:r>
          </w:p>
        </w:tc>
        <w:tc>
          <w:tcPr>
            <w:tcW w:w="1342" w:type="dxa"/>
            <w:tcBorders>
              <w:top w:val="single" w:sz="8" w:space="0" w:color="auto"/>
              <w:left w:val="nil"/>
              <w:bottom w:val="double" w:sz="6"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5,336</w:t>
            </w:r>
          </w:p>
        </w:tc>
        <w:tc>
          <w:tcPr>
            <w:tcW w:w="1498" w:type="dxa"/>
            <w:tcBorders>
              <w:top w:val="single" w:sz="8" w:space="0" w:color="auto"/>
              <w:left w:val="nil"/>
              <w:bottom w:val="double" w:sz="6"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448</w:t>
            </w:r>
          </w:p>
        </w:tc>
        <w:tc>
          <w:tcPr>
            <w:tcW w:w="1424" w:type="dxa"/>
            <w:tcBorders>
              <w:top w:val="single" w:sz="8" w:space="0" w:color="auto"/>
              <w:left w:val="nil"/>
              <w:bottom w:val="double" w:sz="6"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19,565</w:t>
            </w:r>
          </w:p>
        </w:tc>
        <w:tc>
          <w:tcPr>
            <w:tcW w:w="1265" w:type="dxa"/>
            <w:tcBorders>
              <w:top w:val="single" w:sz="8" w:space="0" w:color="auto"/>
              <w:left w:val="nil"/>
              <w:bottom w:val="double" w:sz="6"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15,182</w:t>
            </w:r>
          </w:p>
        </w:tc>
        <w:tc>
          <w:tcPr>
            <w:tcW w:w="1290" w:type="dxa"/>
            <w:tcBorders>
              <w:top w:val="single" w:sz="8" w:space="0" w:color="auto"/>
              <w:left w:val="nil"/>
              <w:bottom w:val="double" w:sz="6"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40,531</w:t>
            </w:r>
          </w:p>
        </w:tc>
      </w:tr>
      <w:tr w:rsidR="00982F61" w:rsidRPr="00C66B91" w:rsidTr="00296E48">
        <w:trPr>
          <w:trHeight w:val="335"/>
        </w:trPr>
        <w:tc>
          <w:tcPr>
            <w:tcW w:w="3391" w:type="dxa"/>
            <w:tcBorders>
              <w:top w:val="nil"/>
              <w:left w:val="nil"/>
              <w:bottom w:val="nil"/>
              <w:right w:val="nil"/>
            </w:tcBorders>
            <w:shd w:val="clear" w:color="auto" w:fill="auto"/>
            <w:vAlign w:val="center"/>
            <w:hideMark/>
          </w:tcPr>
          <w:p w:rsidR="00982F61" w:rsidRPr="00C66B91" w:rsidRDefault="00982F61" w:rsidP="00982F61">
            <w:pPr>
              <w:jc w:val="right"/>
              <w:rPr>
                <w:b/>
                <w:bCs/>
                <w:color w:val="000000"/>
                <w:sz w:val="22"/>
                <w:szCs w:val="22"/>
                <w:lang w:val="en-GB"/>
              </w:rPr>
            </w:pPr>
          </w:p>
        </w:tc>
        <w:tc>
          <w:tcPr>
            <w:tcW w:w="1342" w:type="dxa"/>
            <w:tcBorders>
              <w:top w:val="single" w:sz="8" w:space="0" w:color="auto"/>
              <w:left w:val="nil"/>
              <w:bottom w:val="nil"/>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 </w:t>
            </w:r>
          </w:p>
        </w:tc>
        <w:tc>
          <w:tcPr>
            <w:tcW w:w="1498" w:type="dxa"/>
            <w:tcBorders>
              <w:top w:val="single" w:sz="8" w:space="0" w:color="auto"/>
              <w:left w:val="nil"/>
              <w:bottom w:val="nil"/>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 </w:t>
            </w:r>
          </w:p>
        </w:tc>
        <w:tc>
          <w:tcPr>
            <w:tcW w:w="1424" w:type="dxa"/>
            <w:tcBorders>
              <w:top w:val="single" w:sz="8" w:space="0" w:color="auto"/>
              <w:left w:val="nil"/>
              <w:bottom w:val="nil"/>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 </w:t>
            </w:r>
          </w:p>
        </w:tc>
        <w:tc>
          <w:tcPr>
            <w:tcW w:w="1265" w:type="dxa"/>
            <w:tcBorders>
              <w:top w:val="single" w:sz="8" w:space="0" w:color="auto"/>
              <w:left w:val="nil"/>
              <w:bottom w:val="nil"/>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 </w:t>
            </w:r>
          </w:p>
        </w:tc>
        <w:tc>
          <w:tcPr>
            <w:tcW w:w="1290" w:type="dxa"/>
            <w:tcBorders>
              <w:top w:val="single" w:sz="8" w:space="0" w:color="auto"/>
              <w:left w:val="nil"/>
              <w:bottom w:val="nil"/>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 </w:t>
            </w:r>
          </w:p>
        </w:tc>
      </w:tr>
      <w:tr w:rsidR="00982F61" w:rsidRPr="00C66B91" w:rsidTr="00296E48">
        <w:trPr>
          <w:trHeight w:val="675"/>
        </w:trPr>
        <w:tc>
          <w:tcPr>
            <w:tcW w:w="3391" w:type="dxa"/>
            <w:tcBorders>
              <w:top w:val="nil"/>
              <w:left w:val="nil"/>
              <w:bottom w:val="nil"/>
              <w:right w:val="nil"/>
            </w:tcBorders>
            <w:shd w:val="clear" w:color="auto" w:fill="auto"/>
            <w:vAlign w:val="center"/>
            <w:hideMark/>
          </w:tcPr>
          <w:p w:rsidR="00982F61" w:rsidRPr="00C66B91" w:rsidRDefault="00982F61" w:rsidP="00982F61">
            <w:pPr>
              <w:rPr>
                <w:b/>
                <w:bCs/>
                <w:color w:val="000000"/>
                <w:sz w:val="22"/>
                <w:szCs w:val="22"/>
                <w:lang w:val="en-GB"/>
              </w:rPr>
            </w:pPr>
            <w:r w:rsidRPr="00C66B91">
              <w:rPr>
                <w:b/>
                <w:bCs/>
                <w:color w:val="000000"/>
                <w:sz w:val="22"/>
                <w:szCs w:val="22"/>
                <w:lang w:val="en-GB"/>
              </w:rPr>
              <w:t xml:space="preserve">Balance as of 1 January 2015 </w:t>
            </w:r>
          </w:p>
        </w:tc>
        <w:tc>
          <w:tcPr>
            <w:tcW w:w="1342" w:type="dxa"/>
            <w:tcBorders>
              <w:top w:val="single" w:sz="8" w:space="0" w:color="auto"/>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5,336</w:t>
            </w:r>
          </w:p>
        </w:tc>
        <w:tc>
          <w:tcPr>
            <w:tcW w:w="1498" w:type="dxa"/>
            <w:tcBorders>
              <w:top w:val="single" w:sz="8" w:space="0" w:color="auto"/>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448</w:t>
            </w:r>
          </w:p>
        </w:tc>
        <w:tc>
          <w:tcPr>
            <w:tcW w:w="1424" w:type="dxa"/>
            <w:tcBorders>
              <w:top w:val="single" w:sz="8" w:space="0" w:color="auto"/>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19,565</w:t>
            </w:r>
          </w:p>
        </w:tc>
        <w:tc>
          <w:tcPr>
            <w:tcW w:w="1265" w:type="dxa"/>
            <w:tcBorders>
              <w:top w:val="single" w:sz="8" w:space="0" w:color="auto"/>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15,182</w:t>
            </w:r>
          </w:p>
        </w:tc>
        <w:tc>
          <w:tcPr>
            <w:tcW w:w="1290" w:type="dxa"/>
            <w:tcBorders>
              <w:top w:val="single" w:sz="8" w:space="0" w:color="auto"/>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40,531</w:t>
            </w:r>
          </w:p>
        </w:tc>
      </w:tr>
      <w:tr w:rsidR="00911666" w:rsidRPr="00C66B91" w:rsidTr="00296E48">
        <w:trPr>
          <w:trHeight w:val="308"/>
        </w:trPr>
        <w:tc>
          <w:tcPr>
            <w:tcW w:w="3391" w:type="dxa"/>
            <w:tcBorders>
              <w:top w:val="nil"/>
              <w:left w:val="nil"/>
              <w:bottom w:val="nil"/>
              <w:right w:val="nil"/>
            </w:tcBorders>
            <w:shd w:val="clear" w:color="auto" w:fill="auto"/>
            <w:vAlign w:val="center"/>
            <w:hideMark/>
          </w:tcPr>
          <w:p w:rsidR="00911666" w:rsidRPr="00C66B91" w:rsidRDefault="00911666">
            <w:pPr>
              <w:jc w:val="right"/>
              <w:rPr>
                <w:b/>
                <w:bCs/>
                <w:color w:val="000000"/>
                <w:sz w:val="22"/>
                <w:szCs w:val="22"/>
                <w:lang w:val="en-GB"/>
              </w:rPr>
            </w:pPr>
          </w:p>
        </w:tc>
        <w:tc>
          <w:tcPr>
            <w:tcW w:w="1342" w:type="dxa"/>
            <w:tcBorders>
              <w:top w:val="nil"/>
              <w:left w:val="nil"/>
              <w:bottom w:val="nil"/>
              <w:right w:val="nil"/>
            </w:tcBorders>
            <w:shd w:val="clear" w:color="auto" w:fill="auto"/>
            <w:vAlign w:val="center"/>
            <w:hideMark/>
          </w:tcPr>
          <w:p w:rsidR="00911666" w:rsidRPr="00C66B91" w:rsidRDefault="00911666">
            <w:pPr>
              <w:rPr>
                <w:sz w:val="20"/>
                <w:szCs w:val="20"/>
                <w:lang w:val="en-GB"/>
              </w:rPr>
            </w:pPr>
          </w:p>
        </w:tc>
        <w:tc>
          <w:tcPr>
            <w:tcW w:w="1498" w:type="dxa"/>
            <w:tcBorders>
              <w:top w:val="nil"/>
              <w:left w:val="nil"/>
              <w:bottom w:val="nil"/>
              <w:right w:val="nil"/>
            </w:tcBorders>
            <w:shd w:val="clear" w:color="auto" w:fill="auto"/>
            <w:vAlign w:val="center"/>
            <w:hideMark/>
          </w:tcPr>
          <w:p w:rsidR="00911666" w:rsidRPr="00C66B91" w:rsidRDefault="00911666">
            <w:pPr>
              <w:jc w:val="right"/>
              <w:rPr>
                <w:sz w:val="20"/>
                <w:szCs w:val="20"/>
                <w:lang w:val="en-GB"/>
              </w:rPr>
            </w:pPr>
          </w:p>
        </w:tc>
        <w:tc>
          <w:tcPr>
            <w:tcW w:w="1424" w:type="dxa"/>
            <w:tcBorders>
              <w:top w:val="nil"/>
              <w:left w:val="nil"/>
              <w:bottom w:val="nil"/>
              <w:right w:val="nil"/>
            </w:tcBorders>
            <w:shd w:val="clear" w:color="auto" w:fill="auto"/>
            <w:vAlign w:val="center"/>
            <w:hideMark/>
          </w:tcPr>
          <w:p w:rsidR="00911666" w:rsidRPr="00C66B91" w:rsidRDefault="00911666">
            <w:pPr>
              <w:jc w:val="right"/>
              <w:rPr>
                <w:sz w:val="20"/>
                <w:szCs w:val="20"/>
                <w:lang w:val="en-GB"/>
              </w:rPr>
            </w:pPr>
          </w:p>
        </w:tc>
        <w:tc>
          <w:tcPr>
            <w:tcW w:w="1265" w:type="dxa"/>
            <w:tcBorders>
              <w:top w:val="nil"/>
              <w:left w:val="nil"/>
              <w:bottom w:val="nil"/>
              <w:right w:val="nil"/>
            </w:tcBorders>
            <w:shd w:val="clear" w:color="auto" w:fill="auto"/>
            <w:vAlign w:val="center"/>
            <w:hideMark/>
          </w:tcPr>
          <w:p w:rsidR="00911666" w:rsidRPr="00C66B91" w:rsidRDefault="00911666">
            <w:pPr>
              <w:jc w:val="right"/>
              <w:rPr>
                <w:sz w:val="20"/>
                <w:szCs w:val="20"/>
                <w:lang w:val="en-GB"/>
              </w:rPr>
            </w:pPr>
          </w:p>
        </w:tc>
        <w:tc>
          <w:tcPr>
            <w:tcW w:w="1290" w:type="dxa"/>
            <w:tcBorders>
              <w:top w:val="nil"/>
              <w:left w:val="nil"/>
              <w:bottom w:val="nil"/>
              <w:right w:val="nil"/>
            </w:tcBorders>
            <w:shd w:val="clear" w:color="auto" w:fill="auto"/>
            <w:vAlign w:val="center"/>
            <w:hideMark/>
          </w:tcPr>
          <w:p w:rsidR="00911666" w:rsidRPr="00C66B91" w:rsidRDefault="00911666">
            <w:pPr>
              <w:jc w:val="right"/>
              <w:rPr>
                <w:sz w:val="20"/>
                <w:szCs w:val="20"/>
                <w:lang w:val="en-GB"/>
              </w:rPr>
            </w:pPr>
          </w:p>
        </w:tc>
      </w:tr>
      <w:tr w:rsidR="00982F61" w:rsidRPr="00C66B91" w:rsidTr="008E5748">
        <w:trPr>
          <w:trHeight w:val="675"/>
        </w:trPr>
        <w:tc>
          <w:tcPr>
            <w:tcW w:w="3391" w:type="dxa"/>
            <w:tcBorders>
              <w:top w:val="nil"/>
              <w:left w:val="nil"/>
              <w:bottom w:val="nil"/>
              <w:right w:val="nil"/>
            </w:tcBorders>
            <w:shd w:val="clear" w:color="auto" w:fill="auto"/>
            <w:vAlign w:val="center"/>
            <w:hideMark/>
          </w:tcPr>
          <w:p w:rsidR="00982F61" w:rsidRPr="00C66B91" w:rsidRDefault="00982F61" w:rsidP="00982F61">
            <w:pPr>
              <w:rPr>
                <w:color w:val="000000"/>
                <w:sz w:val="22"/>
                <w:szCs w:val="22"/>
                <w:lang w:val="en-GB"/>
              </w:rPr>
            </w:pPr>
            <w:r w:rsidRPr="00C66B91">
              <w:rPr>
                <w:color w:val="000000"/>
                <w:sz w:val="22"/>
                <w:szCs w:val="22"/>
                <w:lang w:val="en-GB"/>
              </w:rPr>
              <w:t>Distribution of profits, incl.</w:t>
            </w:r>
          </w:p>
        </w:tc>
        <w:tc>
          <w:tcPr>
            <w:tcW w:w="1342"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w:t>
            </w:r>
          </w:p>
        </w:tc>
        <w:tc>
          <w:tcPr>
            <w:tcW w:w="1498"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color w:val="000000"/>
                <w:sz w:val="22"/>
                <w:szCs w:val="22"/>
                <w:lang w:val="en-GB"/>
              </w:rPr>
            </w:pPr>
            <w:r w:rsidRPr="00C66B91">
              <w:rPr>
                <w:color w:val="000000"/>
                <w:sz w:val="22"/>
                <w:szCs w:val="22"/>
                <w:lang w:val="en-GB"/>
              </w:rPr>
              <w:t>-</w:t>
            </w:r>
          </w:p>
        </w:tc>
        <w:tc>
          <w:tcPr>
            <w:tcW w:w="1424"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w:t>
            </w:r>
          </w:p>
        </w:tc>
        <w:tc>
          <w:tcPr>
            <w:tcW w:w="1265"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-5,603</w:t>
            </w:r>
          </w:p>
        </w:tc>
        <w:tc>
          <w:tcPr>
            <w:tcW w:w="1290" w:type="dxa"/>
            <w:tcBorders>
              <w:top w:val="nil"/>
              <w:left w:val="nil"/>
              <w:bottom w:val="single" w:sz="8" w:space="0" w:color="auto"/>
              <w:right w:val="nil"/>
            </w:tcBorders>
            <w:shd w:val="clear" w:color="auto" w:fill="auto"/>
            <w:vAlign w:val="center"/>
            <w:hideMark/>
          </w:tcPr>
          <w:p w:rsidR="00982F61" w:rsidRPr="00C66B91" w:rsidRDefault="00982F61" w:rsidP="00982F61">
            <w:pPr>
              <w:jc w:val="right"/>
              <w:rPr>
                <w:b/>
                <w:bCs/>
                <w:color w:val="000000"/>
                <w:sz w:val="22"/>
                <w:szCs w:val="22"/>
                <w:lang w:val="en-GB"/>
              </w:rPr>
            </w:pPr>
            <w:r w:rsidRPr="00C66B91">
              <w:rPr>
                <w:b/>
                <w:bCs/>
                <w:color w:val="000000"/>
                <w:sz w:val="22"/>
                <w:szCs w:val="22"/>
                <w:lang w:val="en-GB"/>
              </w:rPr>
              <w:t>-5,603</w:t>
            </w:r>
          </w:p>
        </w:tc>
      </w:tr>
      <w:tr w:rsidR="00982F61" w:rsidRPr="00C66B91" w:rsidTr="008E5748">
        <w:trPr>
          <w:trHeight w:val="428"/>
        </w:trPr>
        <w:tc>
          <w:tcPr>
            <w:tcW w:w="3391" w:type="dxa"/>
            <w:tcBorders>
              <w:top w:val="nil"/>
              <w:left w:val="nil"/>
              <w:bottom w:val="nil"/>
              <w:right w:val="nil"/>
            </w:tcBorders>
            <w:shd w:val="clear" w:color="auto" w:fill="auto"/>
            <w:vAlign w:val="center"/>
            <w:hideMark/>
          </w:tcPr>
          <w:p w:rsidR="00982F61" w:rsidRPr="00C66B91" w:rsidRDefault="00982F61" w:rsidP="00982F61">
            <w:pPr>
              <w:ind w:firstLineChars="300" w:firstLine="660"/>
              <w:rPr>
                <w:color w:val="000000"/>
                <w:sz w:val="22"/>
                <w:szCs w:val="22"/>
                <w:lang w:val="en-GB"/>
              </w:rPr>
            </w:pPr>
            <w:r w:rsidRPr="00C66B91">
              <w:rPr>
                <w:color w:val="000000"/>
                <w:sz w:val="22"/>
                <w:szCs w:val="22"/>
                <w:lang w:val="en-GB"/>
              </w:rPr>
              <w:t>-</w:t>
            </w:r>
            <w:r w:rsidRPr="00C66B91">
              <w:rPr>
                <w:color w:val="000000"/>
                <w:sz w:val="14"/>
                <w:szCs w:val="14"/>
                <w:lang w:val="en-GB"/>
              </w:rPr>
              <w:t xml:space="preserve">               </w:t>
            </w:r>
            <w:r w:rsidRPr="00C66B91">
              <w:rPr>
                <w:i/>
                <w:iCs/>
                <w:color w:val="000000"/>
                <w:sz w:val="22"/>
                <w:szCs w:val="22"/>
                <w:lang w:val="en-GB"/>
              </w:rPr>
              <w:t>Dividends</w:t>
            </w:r>
          </w:p>
        </w:tc>
        <w:tc>
          <w:tcPr>
            <w:tcW w:w="1342" w:type="dxa"/>
            <w:tcBorders>
              <w:top w:val="nil"/>
              <w:left w:val="nil"/>
              <w:bottom w:val="nil"/>
              <w:right w:val="nil"/>
            </w:tcBorders>
            <w:shd w:val="clear" w:color="auto" w:fill="auto"/>
            <w:vAlign w:val="center"/>
            <w:hideMark/>
          </w:tcPr>
          <w:p w:rsidR="00982F61" w:rsidRPr="00C66B91" w:rsidRDefault="00982F61" w:rsidP="00982F61">
            <w:pPr>
              <w:jc w:val="right"/>
              <w:rPr>
                <w:i/>
                <w:iCs/>
                <w:color w:val="000000"/>
                <w:sz w:val="22"/>
                <w:szCs w:val="22"/>
                <w:lang w:val="en-GB"/>
              </w:rPr>
            </w:pPr>
            <w:r w:rsidRPr="00C66B91">
              <w:rPr>
                <w:i/>
                <w:iCs/>
                <w:color w:val="000000"/>
                <w:sz w:val="22"/>
                <w:szCs w:val="22"/>
                <w:lang w:val="en-GB"/>
              </w:rPr>
              <w:t>-</w:t>
            </w:r>
          </w:p>
        </w:tc>
        <w:tc>
          <w:tcPr>
            <w:tcW w:w="1498" w:type="dxa"/>
            <w:tcBorders>
              <w:top w:val="nil"/>
              <w:left w:val="nil"/>
              <w:bottom w:val="nil"/>
              <w:right w:val="nil"/>
            </w:tcBorders>
            <w:shd w:val="clear" w:color="auto" w:fill="auto"/>
            <w:vAlign w:val="center"/>
            <w:hideMark/>
          </w:tcPr>
          <w:p w:rsidR="00982F61" w:rsidRPr="00C66B91" w:rsidRDefault="00982F61" w:rsidP="00982F61">
            <w:pPr>
              <w:jc w:val="right"/>
              <w:rPr>
                <w:i/>
                <w:iCs/>
                <w:color w:val="000000"/>
                <w:sz w:val="22"/>
                <w:szCs w:val="22"/>
                <w:lang w:val="en-GB"/>
              </w:rPr>
            </w:pPr>
            <w:r w:rsidRPr="00C66B91">
              <w:rPr>
                <w:i/>
                <w:iCs/>
                <w:color w:val="000000"/>
                <w:sz w:val="22"/>
                <w:szCs w:val="22"/>
                <w:lang w:val="en-GB"/>
              </w:rPr>
              <w:t>-</w:t>
            </w:r>
          </w:p>
        </w:tc>
        <w:tc>
          <w:tcPr>
            <w:tcW w:w="1424" w:type="dxa"/>
            <w:tcBorders>
              <w:top w:val="nil"/>
              <w:left w:val="nil"/>
              <w:bottom w:val="nil"/>
              <w:right w:val="nil"/>
            </w:tcBorders>
            <w:shd w:val="clear" w:color="auto" w:fill="auto"/>
            <w:vAlign w:val="center"/>
            <w:hideMark/>
          </w:tcPr>
          <w:p w:rsidR="00982F61" w:rsidRPr="00C66B91" w:rsidRDefault="00982F61" w:rsidP="00982F61">
            <w:pPr>
              <w:jc w:val="right"/>
              <w:rPr>
                <w:i/>
                <w:iCs/>
                <w:color w:val="000000"/>
                <w:sz w:val="22"/>
                <w:szCs w:val="22"/>
                <w:lang w:val="en-GB"/>
              </w:rPr>
            </w:pPr>
            <w:r w:rsidRPr="00C66B91">
              <w:rPr>
                <w:i/>
                <w:iCs/>
                <w:color w:val="000000"/>
                <w:sz w:val="22"/>
                <w:szCs w:val="22"/>
                <w:lang w:val="en-GB"/>
              </w:rPr>
              <w:t>-</w:t>
            </w:r>
          </w:p>
        </w:tc>
        <w:tc>
          <w:tcPr>
            <w:tcW w:w="1265" w:type="dxa"/>
            <w:tcBorders>
              <w:top w:val="nil"/>
              <w:left w:val="nil"/>
              <w:bottom w:val="nil"/>
              <w:right w:val="nil"/>
            </w:tcBorders>
            <w:shd w:val="clear" w:color="auto" w:fill="auto"/>
            <w:vAlign w:val="center"/>
            <w:hideMark/>
          </w:tcPr>
          <w:p w:rsidR="00982F61" w:rsidRPr="00C66B91" w:rsidRDefault="00982F61" w:rsidP="00982F61">
            <w:pPr>
              <w:jc w:val="right"/>
              <w:rPr>
                <w:i/>
                <w:iCs/>
                <w:color w:val="000000"/>
                <w:sz w:val="22"/>
                <w:szCs w:val="22"/>
                <w:lang w:val="en-GB"/>
              </w:rPr>
            </w:pPr>
            <w:r w:rsidRPr="00C66B91">
              <w:rPr>
                <w:i/>
                <w:iCs/>
                <w:color w:val="000000"/>
                <w:sz w:val="22"/>
                <w:szCs w:val="22"/>
                <w:lang w:val="en-GB"/>
              </w:rPr>
              <w:t>5,603</w:t>
            </w:r>
          </w:p>
        </w:tc>
        <w:tc>
          <w:tcPr>
            <w:tcW w:w="1290" w:type="dxa"/>
            <w:tcBorders>
              <w:top w:val="nil"/>
              <w:left w:val="nil"/>
              <w:bottom w:val="nil"/>
              <w:right w:val="nil"/>
            </w:tcBorders>
            <w:shd w:val="clear" w:color="auto" w:fill="auto"/>
            <w:vAlign w:val="center"/>
            <w:hideMark/>
          </w:tcPr>
          <w:p w:rsidR="00982F61" w:rsidRPr="00C66B91" w:rsidRDefault="00982F61" w:rsidP="00982F61">
            <w:pPr>
              <w:jc w:val="right"/>
              <w:rPr>
                <w:i/>
                <w:iCs/>
                <w:color w:val="000000"/>
                <w:sz w:val="22"/>
                <w:szCs w:val="22"/>
                <w:lang w:val="en-GB"/>
              </w:rPr>
            </w:pPr>
          </w:p>
        </w:tc>
      </w:tr>
      <w:tr w:rsidR="00911666" w:rsidRPr="00C66B91" w:rsidTr="00296E48">
        <w:trPr>
          <w:trHeight w:val="385"/>
        </w:trPr>
        <w:tc>
          <w:tcPr>
            <w:tcW w:w="3391" w:type="dxa"/>
            <w:tcBorders>
              <w:top w:val="nil"/>
              <w:left w:val="nil"/>
              <w:bottom w:val="nil"/>
              <w:right w:val="nil"/>
            </w:tcBorders>
            <w:shd w:val="clear" w:color="auto" w:fill="auto"/>
            <w:vAlign w:val="center"/>
            <w:hideMark/>
          </w:tcPr>
          <w:p w:rsidR="00911666" w:rsidRPr="00C66B91" w:rsidRDefault="00982F61">
            <w:pPr>
              <w:rPr>
                <w:color w:val="000000"/>
                <w:sz w:val="22"/>
                <w:szCs w:val="22"/>
                <w:lang w:val="en-GB"/>
              </w:rPr>
            </w:pPr>
            <w:r w:rsidRPr="00C66B91">
              <w:rPr>
                <w:color w:val="000000"/>
                <w:sz w:val="22"/>
                <w:szCs w:val="22"/>
                <w:lang w:val="en-GB"/>
              </w:rPr>
              <w:t>Profit for the year</w:t>
            </w:r>
          </w:p>
        </w:tc>
        <w:tc>
          <w:tcPr>
            <w:tcW w:w="1342" w:type="dxa"/>
            <w:tcBorders>
              <w:top w:val="nil"/>
              <w:left w:val="nil"/>
              <w:bottom w:val="nil"/>
              <w:right w:val="nil"/>
            </w:tcBorders>
            <w:shd w:val="clear" w:color="auto" w:fill="auto"/>
            <w:vAlign w:val="center"/>
            <w:hideMark/>
          </w:tcPr>
          <w:p w:rsidR="00911666" w:rsidRPr="00C66B91" w:rsidRDefault="00911666">
            <w:pPr>
              <w:jc w:val="right"/>
              <w:rPr>
                <w:b/>
                <w:bCs/>
                <w:color w:val="000000"/>
                <w:sz w:val="22"/>
                <w:szCs w:val="22"/>
                <w:lang w:val="en-GB"/>
              </w:rPr>
            </w:pPr>
            <w:r w:rsidRPr="00C66B91">
              <w:rPr>
                <w:b/>
                <w:bCs/>
                <w:color w:val="000000"/>
                <w:sz w:val="22"/>
                <w:szCs w:val="22"/>
                <w:lang w:val="en-GB"/>
              </w:rPr>
              <w:t>-</w:t>
            </w:r>
          </w:p>
        </w:tc>
        <w:tc>
          <w:tcPr>
            <w:tcW w:w="1498" w:type="dxa"/>
            <w:tcBorders>
              <w:top w:val="nil"/>
              <w:left w:val="nil"/>
              <w:bottom w:val="nil"/>
              <w:right w:val="nil"/>
            </w:tcBorders>
            <w:shd w:val="clear" w:color="auto" w:fill="auto"/>
            <w:vAlign w:val="center"/>
            <w:hideMark/>
          </w:tcPr>
          <w:p w:rsidR="00911666" w:rsidRPr="00C66B91" w:rsidRDefault="00911666">
            <w:pPr>
              <w:jc w:val="right"/>
              <w:rPr>
                <w:color w:val="000000"/>
                <w:sz w:val="22"/>
                <w:szCs w:val="22"/>
                <w:lang w:val="en-GB"/>
              </w:rPr>
            </w:pPr>
            <w:r w:rsidRPr="00C66B91">
              <w:rPr>
                <w:color w:val="000000"/>
                <w:sz w:val="22"/>
                <w:szCs w:val="22"/>
                <w:lang w:val="en-GB"/>
              </w:rPr>
              <w:t>-</w:t>
            </w:r>
          </w:p>
        </w:tc>
        <w:tc>
          <w:tcPr>
            <w:tcW w:w="1424" w:type="dxa"/>
            <w:tcBorders>
              <w:top w:val="nil"/>
              <w:left w:val="nil"/>
              <w:bottom w:val="nil"/>
              <w:right w:val="nil"/>
            </w:tcBorders>
            <w:shd w:val="clear" w:color="auto" w:fill="auto"/>
            <w:vAlign w:val="center"/>
            <w:hideMark/>
          </w:tcPr>
          <w:p w:rsidR="00911666" w:rsidRPr="00C66B91" w:rsidRDefault="00911666">
            <w:pPr>
              <w:jc w:val="right"/>
              <w:rPr>
                <w:b/>
                <w:bCs/>
                <w:color w:val="000000"/>
                <w:sz w:val="22"/>
                <w:szCs w:val="22"/>
                <w:lang w:val="en-GB"/>
              </w:rPr>
            </w:pPr>
            <w:r w:rsidRPr="00C66B91">
              <w:rPr>
                <w:b/>
                <w:bCs/>
                <w:color w:val="000000"/>
                <w:sz w:val="22"/>
                <w:szCs w:val="22"/>
                <w:lang w:val="en-GB"/>
              </w:rPr>
              <w:t>-</w:t>
            </w:r>
          </w:p>
        </w:tc>
        <w:tc>
          <w:tcPr>
            <w:tcW w:w="1265" w:type="dxa"/>
            <w:tcBorders>
              <w:top w:val="nil"/>
              <w:left w:val="nil"/>
              <w:bottom w:val="nil"/>
              <w:right w:val="nil"/>
            </w:tcBorders>
            <w:shd w:val="clear" w:color="auto" w:fill="auto"/>
            <w:vAlign w:val="center"/>
            <w:hideMark/>
          </w:tcPr>
          <w:p w:rsidR="00911666" w:rsidRPr="00C66B91" w:rsidRDefault="00065E6C" w:rsidP="00065E6C">
            <w:pPr>
              <w:jc w:val="right"/>
              <w:rPr>
                <w:b/>
                <w:bCs/>
                <w:color w:val="000000"/>
                <w:sz w:val="22"/>
                <w:szCs w:val="22"/>
                <w:lang w:val="en-GB"/>
              </w:rPr>
            </w:pPr>
            <w:r w:rsidRPr="00C66B91">
              <w:rPr>
                <w:b/>
                <w:bCs/>
                <w:color w:val="000000"/>
                <w:sz w:val="22"/>
                <w:szCs w:val="22"/>
                <w:lang w:val="en-GB"/>
              </w:rPr>
              <w:t>4</w:t>
            </w:r>
            <w:r w:rsidR="00911666" w:rsidRPr="00C66B91">
              <w:rPr>
                <w:b/>
                <w:bCs/>
                <w:color w:val="000000"/>
                <w:sz w:val="22"/>
                <w:szCs w:val="22"/>
                <w:lang w:val="en-GB"/>
              </w:rPr>
              <w:t>,</w:t>
            </w:r>
            <w:r w:rsidRPr="00C66B91">
              <w:rPr>
                <w:b/>
                <w:bCs/>
                <w:color w:val="000000"/>
                <w:sz w:val="22"/>
                <w:szCs w:val="22"/>
                <w:lang w:val="en-GB"/>
              </w:rPr>
              <w:t>861</w:t>
            </w:r>
          </w:p>
        </w:tc>
        <w:tc>
          <w:tcPr>
            <w:tcW w:w="1290" w:type="dxa"/>
            <w:tcBorders>
              <w:top w:val="nil"/>
              <w:left w:val="nil"/>
              <w:bottom w:val="nil"/>
              <w:right w:val="nil"/>
            </w:tcBorders>
            <w:shd w:val="clear" w:color="auto" w:fill="auto"/>
            <w:vAlign w:val="center"/>
            <w:hideMark/>
          </w:tcPr>
          <w:p w:rsidR="00911666" w:rsidRPr="00C66B91" w:rsidRDefault="00065E6C">
            <w:pPr>
              <w:jc w:val="right"/>
              <w:rPr>
                <w:b/>
                <w:bCs/>
                <w:color w:val="000000"/>
                <w:sz w:val="22"/>
                <w:szCs w:val="22"/>
                <w:lang w:val="en-GB"/>
              </w:rPr>
            </w:pPr>
            <w:r w:rsidRPr="00C66B91">
              <w:rPr>
                <w:b/>
                <w:bCs/>
                <w:color w:val="000000"/>
                <w:sz w:val="22"/>
                <w:szCs w:val="22"/>
                <w:lang w:val="en-GB"/>
              </w:rPr>
              <w:t>4,861</w:t>
            </w:r>
          </w:p>
        </w:tc>
      </w:tr>
      <w:tr w:rsidR="00911666" w:rsidRPr="00C66B91" w:rsidTr="00296E48">
        <w:trPr>
          <w:trHeight w:val="420"/>
        </w:trPr>
        <w:tc>
          <w:tcPr>
            <w:tcW w:w="3391" w:type="dxa"/>
            <w:tcBorders>
              <w:top w:val="nil"/>
              <w:left w:val="nil"/>
              <w:bottom w:val="nil"/>
              <w:right w:val="nil"/>
            </w:tcBorders>
            <w:shd w:val="clear" w:color="auto" w:fill="auto"/>
            <w:vAlign w:val="center"/>
            <w:hideMark/>
          </w:tcPr>
          <w:p w:rsidR="00911666" w:rsidRPr="00C66B91" w:rsidRDefault="00982F61">
            <w:pPr>
              <w:rPr>
                <w:color w:val="000000"/>
                <w:lang w:val="en-GB"/>
              </w:rPr>
            </w:pPr>
            <w:r w:rsidRPr="00C66B91">
              <w:rPr>
                <w:color w:val="000000"/>
                <w:lang w:val="en-GB"/>
              </w:rPr>
              <w:t>Other changes</w:t>
            </w:r>
          </w:p>
        </w:tc>
        <w:tc>
          <w:tcPr>
            <w:tcW w:w="1342" w:type="dxa"/>
            <w:tcBorders>
              <w:top w:val="nil"/>
              <w:left w:val="nil"/>
              <w:bottom w:val="nil"/>
              <w:right w:val="nil"/>
            </w:tcBorders>
            <w:shd w:val="clear" w:color="auto" w:fill="auto"/>
            <w:vAlign w:val="center"/>
            <w:hideMark/>
          </w:tcPr>
          <w:p w:rsidR="00911666" w:rsidRPr="00C66B91" w:rsidRDefault="00911666">
            <w:pPr>
              <w:jc w:val="right"/>
              <w:rPr>
                <w:color w:val="000000"/>
                <w:sz w:val="22"/>
                <w:szCs w:val="22"/>
                <w:lang w:val="en-GB"/>
              </w:rPr>
            </w:pPr>
            <w:r w:rsidRPr="00C66B91">
              <w:rPr>
                <w:color w:val="000000"/>
                <w:sz w:val="22"/>
                <w:szCs w:val="22"/>
                <w:lang w:val="en-GB"/>
              </w:rPr>
              <w:t>-</w:t>
            </w:r>
          </w:p>
        </w:tc>
        <w:tc>
          <w:tcPr>
            <w:tcW w:w="1498" w:type="dxa"/>
            <w:tcBorders>
              <w:top w:val="nil"/>
              <w:left w:val="nil"/>
              <w:bottom w:val="nil"/>
              <w:right w:val="nil"/>
            </w:tcBorders>
            <w:shd w:val="clear" w:color="auto" w:fill="auto"/>
            <w:vAlign w:val="center"/>
            <w:hideMark/>
          </w:tcPr>
          <w:p w:rsidR="00911666" w:rsidRPr="00C66B91" w:rsidRDefault="00065E6C" w:rsidP="00065E6C">
            <w:pPr>
              <w:jc w:val="right"/>
              <w:rPr>
                <w:color w:val="000000"/>
                <w:sz w:val="22"/>
                <w:szCs w:val="22"/>
                <w:lang w:val="en-GB"/>
              </w:rPr>
            </w:pPr>
            <w:r w:rsidRPr="00C66B91">
              <w:rPr>
                <w:color w:val="000000"/>
                <w:sz w:val="22"/>
                <w:szCs w:val="22"/>
                <w:lang w:val="en-GB"/>
              </w:rPr>
              <w:t>96</w:t>
            </w:r>
          </w:p>
        </w:tc>
        <w:tc>
          <w:tcPr>
            <w:tcW w:w="1424" w:type="dxa"/>
            <w:tcBorders>
              <w:top w:val="nil"/>
              <w:left w:val="nil"/>
              <w:bottom w:val="nil"/>
              <w:right w:val="nil"/>
            </w:tcBorders>
            <w:shd w:val="clear" w:color="auto" w:fill="auto"/>
            <w:vAlign w:val="center"/>
            <w:hideMark/>
          </w:tcPr>
          <w:p w:rsidR="00911666" w:rsidRPr="00C66B91" w:rsidRDefault="00911666">
            <w:pPr>
              <w:jc w:val="right"/>
              <w:rPr>
                <w:b/>
                <w:bCs/>
                <w:color w:val="000000"/>
                <w:sz w:val="22"/>
                <w:szCs w:val="22"/>
                <w:lang w:val="en-GB"/>
              </w:rPr>
            </w:pPr>
            <w:r w:rsidRPr="00C66B91">
              <w:rPr>
                <w:b/>
                <w:bCs/>
                <w:color w:val="000000"/>
                <w:sz w:val="22"/>
                <w:szCs w:val="22"/>
                <w:lang w:val="en-GB"/>
              </w:rPr>
              <w:t>-</w:t>
            </w:r>
          </w:p>
        </w:tc>
        <w:tc>
          <w:tcPr>
            <w:tcW w:w="1265" w:type="dxa"/>
            <w:tcBorders>
              <w:top w:val="nil"/>
              <w:left w:val="nil"/>
              <w:bottom w:val="nil"/>
              <w:right w:val="nil"/>
            </w:tcBorders>
            <w:shd w:val="clear" w:color="auto" w:fill="auto"/>
            <w:vAlign w:val="center"/>
            <w:hideMark/>
          </w:tcPr>
          <w:p w:rsidR="00911666" w:rsidRPr="00C66B91" w:rsidRDefault="00911666" w:rsidP="00065E6C">
            <w:pPr>
              <w:jc w:val="right"/>
              <w:rPr>
                <w:b/>
                <w:bCs/>
                <w:color w:val="000000"/>
                <w:sz w:val="22"/>
                <w:szCs w:val="22"/>
                <w:lang w:val="en-GB"/>
              </w:rPr>
            </w:pPr>
            <w:r w:rsidRPr="00C66B91">
              <w:rPr>
                <w:b/>
                <w:bCs/>
                <w:color w:val="000000"/>
                <w:sz w:val="22"/>
                <w:szCs w:val="22"/>
                <w:lang w:val="en-GB"/>
              </w:rPr>
              <w:t>-</w:t>
            </w:r>
            <w:r w:rsidR="00065E6C" w:rsidRPr="00C66B91">
              <w:rPr>
                <w:b/>
                <w:bCs/>
                <w:color w:val="000000"/>
                <w:sz w:val="22"/>
                <w:szCs w:val="22"/>
                <w:lang w:val="en-GB"/>
              </w:rPr>
              <w:t>51</w:t>
            </w:r>
          </w:p>
        </w:tc>
        <w:tc>
          <w:tcPr>
            <w:tcW w:w="1290" w:type="dxa"/>
            <w:tcBorders>
              <w:top w:val="nil"/>
              <w:left w:val="nil"/>
              <w:bottom w:val="nil"/>
              <w:right w:val="nil"/>
            </w:tcBorders>
            <w:shd w:val="clear" w:color="auto" w:fill="auto"/>
            <w:vAlign w:val="center"/>
            <w:hideMark/>
          </w:tcPr>
          <w:p w:rsidR="00911666" w:rsidRPr="00C66B91" w:rsidRDefault="00065E6C">
            <w:pPr>
              <w:jc w:val="right"/>
              <w:rPr>
                <w:b/>
                <w:bCs/>
                <w:color w:val="000000"/>
                <w:sz w:val="22"/>
                <w:szCs w:val="22"/>
                <w:lang w:val="en-GB"/>
              </w:rPr>
            </w:pPr>
            <w:r w:rsidRPr="00C66B91">
              <w:rPr>
                <w:b/>
                <w:bCs/>
                <w:color w:val="000000"/>
                <w:sz w:val="22"/>
                <w:szCs w:val="22"/>
                <w:lang w:val="en-GB"/>
              </w:rPr>
              <w:t>45</w:t>
            </w:r>
          </w:p>
        </w:tc>
      </w:tr>
      <w:tr w:rsidR="00911666" w:rsidRPr="00C66B91" w:rsidTr="00296E48">
        <w:trPr>
          <w:trHeight w:val="406"/>
        </w:trPr>
        <w:tc>
          <w:tcPr>
            <w:tcW w:w="3391" w:type="dxa"/>
            <w:tcBorders>
              <w:top w:val="nil"/>
              <w:left w:val="nil"/>
              <w:bottom w:val="nil"/>
              <w:right w:val="nil"/>
            </w:tcBorders>
            <w:shd w:val="clear" w:color="auto" w:fill="auto"/>
            <w:vAlign w:val="center"/>
            <w:hideMark/>
          </w:tcPr>
          <w:p w:rsidR="00911666" w:rsidRPr="00C66B91" w:rsidRDefault="00982F61">
            <w:pPr>
              <w:rPr>
                <w:b/>
                <w:bCs/>
                <w:color w:val="000000"/>
                <w:sz w:val="22"/>
                <w:szCs w:val="22"/>
                <w:lang w:val="en-GB"/>
              </w:rPr>
            </w:pPr>
            <w:r w:rsidRPr="00C66B91">
              <w:rPr>
                <w:b/>
                <w:bCs/>
                <w:color w:val="000000"/>
                <w:sz w:val="22"/>
                <w:szCs w:val="22"/>
                <w:lang w:val="en-GB"/>
              </w:rPr>
              <w:t>Balance as of 30 June 2015</w:t>
            </w:r>
            <w:r w:rsidR="00911666" w:rsidRPr="00C66B91">
              <w:rPr>
                <w:b/>
                <w:bCs/>
                <w:color w:val="000000"/>
                <w:sz w:val="22"/>
                <w:szCs w:val="22"/>
                <w:lang w:val="en-GB"/>
              </w:rPr>
              <w:t>.</w:t>
            </w:r>
          </w:p>
        </w:tc>
        <w:tc>
          <w:tcPr>
            <w:tcW w:w="1342" w:type="dxa"/>
            <w:tcBorders>
              <w:top w:val="single" w:sz="8" w:space="0" w:color="auto"/>
              <w:left w:val="nil"/>
              <w:bottom w:val="double" w:sz="6" w:space="0" w:color="auto"/>
              <w:right w:val="nil"/>
            </w:tcBorders>
            <w:shd w:val="clear" w:color="auto" w:fill="auto"/>
            <w:vAlign w:val="center"/>
            <w:hideMark/>
          </w:tcPr>
          <w:p w:rsidR="00911666" w:rsidRPr="00C66B91" w:rsidRDefault="00911666">
            <w:pPr>
              <w:jc w:val="right"/>
              <w:rPr>
                <w:b/>
                <w:bCs/>
                <w:color w:val="000000"/>
                <w:sz w:val="22"/>
                <w:szCs w:val="22"/>
                <w:lang w:val="en-GB"/>
              </w:rPr>
            </w:pPr>
            <w:r w:rsidRPr="00C66B91">
              <w:rPr>
                <w:b/>
                <w:bCs/>
                <w:color w:val="000000"/>
                <w:sz w:val="22"/>
                <w:szCs w:val="22"/>
                <w:lang w:val="en-GB"/>
              </w:rPr>
              <w:t>5,336</w:t>
            </w:r>
          </w:p>
        </w:tc>
        <w:tc>
          <w:tcPr>
            <w:tcW w:w="1498" w:type="dxa"/>
            <w:tcBorders>
              <w:top w:val="single" w:sz="8" w:space="0" w:color="auto"/>
              <w:left w:val="nil"/>
              <w:bottom w:val="double" w:sz="6" w:space="0" w:color="auto"/>
              <w:right w:val="nil"/>
            </w:tcBorders>
            <w:shd w:val="clear" w:color="auto" w:fill="auto"/>
            <w:vAlign w:val="center"/>
            <w:hideMark/>
          </w:tcPr>
          <w:p w:rsidR="00911666" w:rsidRPr="00C66B91" w:rsidRDefault="00065E6C">
            <w:pPr>
              <w:jc w:val="right"/>
              <w:rPr>
                <w:b/>
                <w:bCs/>
                <w:color w:val="000000"/>
                <w:sz w:val="22"/>
                <w:szCs w:val="22"/>
                <w:lang w:val="en-GB"/>
              </w:rPr>
            </w:pPr>
            <w:r w:rsidRPr="00C66B91">
              <w:rPr>
                <w:b/>
                <w:bCs/>
                <w:color w:val="000000"/>
                <w:sz w:val="22"/>
                <w:szCs w:val="22"/>
                <w:lang w:val="en-GB"/>
              </w:rPr>
              <w:t>544</w:t>
            </w:r>
          </w:p>
        </w:tc>
        <w:tc>
          <w:tcPr>
            <w:tcW w:w="1424" w:type="dxa"/>
            <w:tcBorders>
              <w:top w:val="single" w:sz="8" w:space="0" w:color="auto"/>
              <w:left w:val="nil"/>
              <w:bottom w:val="double" w:sz="6" w:space="0" w:color="auto"/>
              <w:right w:val="nil"/>
            </w:tcBorders>
            <w:shd w:val="clear" w:color="auto" w:fill="auto"/>
            <w:vAlign w:val="center"/>
            <w:hideMark/>
          </w:tcPr>
          <w:p w:rsidR="00911666" w:rsidRPr="00C66B91" w:rsidRDefault="00911666">
            <w:pPr>
              <w:jc w:val="right"/>
              <w:rPr>
                <w:b/>
                <w:bCs/>
                <w:color w:val="000000"/>
                <w:sz w:val="22"/>
                <w:szCs w:val="22"/>
                <w:lang w:val="en-GB"/>
              </w:rPr>
            </w:pPr>
            <w:r w:rsidRPr="00C66B91">
              <w:rPr>
                <w:b/>
                <w:bCs/>
                <w:color w:val="000000"/>
                <w:sz w:val="22"/>
                <w:szCs w:val="22"/>
                <w:lang w:val="en-GB"/>
              </w:rPr>
              <w:t>19,565</w:t>
            </w:r>
          </w:p>
        </w:tc>
        <w:tc>
          <w:tcPr>
            <w:tcW w:w="1265" w:type="dxa"/>
            <w:tcBorders>
              <w:top w:val="single" w:sz="8" w:space="0" w:color="auto"/>
              <w:left w:val="nil"/>
              <w:bottom w:val="double" w:sz="6" w:space="0" w:color="auto"/>
              <w:right w:val="nil"/>
            </w:tcBorders>
            <w:shd w:val="clear" w:color="auto" w:fill="auto"/>
            <w:vAlign w:val="center"/>
            <w:hideMark/>
          </w:tcPr>
          <w:p w:rsidR="00911666" w:rsidRPr="00C66B91" w:rsidRDefault="00911666" w:rsidP="00015CF8">
            <w:pPr>
              <w:jc w:val="right"/>
              <w:rPr>
                <w:b/>
                <w:bCs/>
                <w:color w:val="000000"/>
                <w:sz w:val="22"/>
                <w:szCs w:val="22"/>
                <w:lang w:val="en-GB"/>
              </w:rPr>
            </w:pPr>
            <w:r w:rsidRPr="00C66B91">
              <w:rPr>
                <w:b/>
                <w:bCs/>
                <w:color w:val="000000"/>
                <w:sz w:val="22"/>
                <w:szCs w:val="22"/>
                <w:lang w:val="en-GB"/>
              </w:rPr>
              <w:t>1</w:t>
            </w:r>
            <w:r w:rsidR="00015CF8" w:rsidRPr="00C66B91">
              <w:rPr>
                <w:b/>
                <w:bCs/>
                <w:color w:val="000000"/>
                <w:sz w:val="22"/>
                <w:szCs w:val="22"/>
                <w:lang w:val="en-GB"/>
              </w:rPr>
              <w:t>4,389</w:t>
            </w:r>
          </w:p>
        </w:tc>
        <w:tc>
          <w:tcPr>
            <w:tcW w:w="1290" w:type="dxa"/>
            <w:tcBorders>
              <w:top w:val="single" w:sz="8" w:space="0" w:color="auto"/>
              <w:left w:val="nil"/>
              <w:bottom w:val="double" w:sz="6" w:space="0" w:color="auto"/>
              <w:right w:val="nil"/>
            </w:tcBorders>
            <w:shd w:val="clear" w:color="auto" w:fill="auto"/>
            <w:vAlign w:val="center"/>
            <w:hideMark/>
          </w:tcPr>
          <w:p w:rsidR="00911666" w:rsidRPr="00C66B91" w:rsidRDefault="00015CF8" w:rsidP="00015CF8">
            <w:pPr>
              <w:jc w:val="right"/>
              <w:rPr>
                <w:b/>
                <w:bCs/>
                <w:color w:val="000000"/>
                <w:sz w:val="22"/>
                <w:szCs w:val="22"/>
                <w:lang w:val="en-GB"/>
              </w:rPr>
            </w:pPr>
            <w:r w:rsidRPr="00C66B91">
              <w:rPr>
                <w:b/>
                <w:bCs/>
                <w:color w:val="000000"/>
                <w:sz w:val="22"/>
                <w:szCs w:val="22"/>
                <w:lang w:val="en-GB"/>
              </w:rPr>
              <w:t>39</w:t>
            </w:r>
            <w:r w:rsidR="00911666" w:rsidRPr="00C66B91">
              <w:rPr>
                <w:b/>
                <w:bCs/>
                <w:color w:val="000000"/>
                <w:sz w:val="22"/>
                <w:szCs w:val="22"/>
                <w:lang w:val="en-GB"/>
              </w:rPr>
              <w:t>,</w:t>
            </w:r>
            <w:r w:rsidRPr="00C66B91">
              <w:rPr>
                <w:b/>
                <w:bCs/>
                <w:color w:val="000000"/>
                <w:sz w:val="22"/>
                <w:szCs w:val="22"/>
                <w:lang w:val="en-GB"/>
              </w:rPr>
              <w:t>834</w:t>
            </w:r>
          </w:p>
        </w:tc>
      </w:tr>
    </w:tbl>
    <w:p w:rsidR="00E922D1" w:rsidRPr="00C66B91" w:rsidRDefault="00E922D1" w:rsidP="00E922D1">
      <w:pPr>
        <w:pStyle w:val="Header"/>
        <w:rPr>
          <w:sz w:val="22"/>
          <w:szCs w:val="22"/>
          <w:lang w:val="en-GB"/>
        </w:rPr>
      </w:pPr>
    </w:p>
    <w:p w:rsidR="0082243E" w:rsidRPr="0082243E" w:rsidRDefault="0082243E" w:rsidP="0082243E">
      <w:pPr>
        <w:keepNext/>
        <w:autoSpaceDE w:val="0"/>
        <w:autoSpaceDN w:val="0"/>
        <w:adjustRightInd w:val="0"/>
        <w:jc w:val="both"/>
        <w:rPr>
          <w:i/>
          <w:iCs/>
          <w:sz w:val="22"/>
          <w:szCs w:val="22"/>
          <w:lang w:val="en-GB" w:eastAsia="bg-BG"/>
        </w:rPr>
      </w:pPr>
      <w:r w:rsidRPr="0082243E">
        <w:rPr>
          <w:i/>
          <w:iCs/>
          <w:sz w:val="22"/>
          <w:szCs w:val="22"/>
          <w:lang w:val="en-GB" w:eastAsia="bg-BG"/>
        </w:rPr>
        <w:t>The enclosed explanatory notes on pages 1 to 23 are an integral part of the financial statement.</w:t>
      </w:r>
    </w:p>
    <w:p w:rsidR="0082243E" w:rsidRPr="0082243E" w:rsidRDefault="0082243E" w:rsidP="0082243E">
      <w:pPr>
        <w:jc w:val="both"/>
        <w:rPr>
          <w:rFonts w:eastAsia="Times"/>
          <w:sz w:val="22"/>
          <w:szCs w:val="22"/>
          <w:lang w:val="en-GB"/>
        </w:rPr>
      </w:pPr>
    </w:p>
    <w:p w:rsidR="0082243E" w:rsidRPr="0082243E" w:rsidRDefault="0082243E" w:rsidP="0082243E">
      <w:pPr>
        <w:jc w:val="both"/>
        <w:rPr>
          <w:lang w:val="en-GB" w:eastAsia="bg-BG"/>
        </w:rPr>
      </w:pPr>
    </w:p>
    <w:p w:rsidR="0082243E" w:rsidRPr="0082243E" w:rsidRDefault="0082243E" w:rsidP="0082243E">
      <w:pPr>
        <w:jc w:val="both"/>
        <w:rPr>
          <w:lang w:val="en-GB" w:eastAsia="bg-BG"/>
        </w:rPr>
      </w:pPr>
    </w:p>
    <w:tbl>
      <w:tblPr>
        <w:tblW w:w="9484" w:type="dxa"/>
        <w:tblLayout w:type="fixed"/>
        <w:tblLook w:val="0000" w:firstRow="0" w:lastRow="0" w:firstColumn="0" w:lastColumn="0" w:noHBand="0" w:noVBand="0"/>
      </w:tblPr>
      <w:tblGrid>
        <w:gridCol w:w="4977"/>
        <w:gridCol w:w="4507"/>
      </w:tblGrid>
      <w:tr w:rsidR="0082243E" w:rsidRPr="0082243E" w:rsidTr="000554E8">
        <w:trPr>
          <w:trHeight w:val="284"/>
        </w:trPr>
        <w:tc>
          <w:tcPr>
            <w:tcW w:w="4977" w:type="dxa"/>
            <w:tcBorders>
              <w:top w:val="nil"/>
              <w:left w:val="nil"/>
              <w:bottom w:val="nil"/>
              <w:right w:val="nil"/>
            </w:tcBorders>
          </w:tcPr>
          <w:p w:rsidR="0082243E" w:rsidRPr="0082243E" w:rsidRDefault="0082243E" w:rsidP="0082243E">
            <w:pPr>
              <w:rPr>
                <w:lang w:val="en-GB"/>
              </w:rPr>
            </w:pPr>
            <w:r w:rsidRPr="0082243E">
              <w:rPr>
                <w:sz w:val="22"/>
                <w:szCs w:val="22"/>
                <w:lang w:val="en-GB"/>
              </w:rPr>
              <w:t>Executive Director:</w:t>
            </w:r>
          </w:p>
        </w:tc>
        <w:tc>
          <w:tcPr>
            <w:tcW w:w="4507" w:type="dxa"/>
            <w:tcBorders>
              <w:top w:val="nil"/>
              <w:left w:val="nil"/>
              <w:bottom w:val="nil"/>
              <w:right w:val="nil"/>
            </w:tcBorders>
          </w:tcPr>
          <w:p w:rsidR="0082243E" w:rsidRPr="0082243E" w:rsidRDefault="0082243E" w:rsidP="0082243E">
            <w:pPr>
              <w:rPr>
                <w:lang w:val="en-GB"/>
              </w:rPr>
            </w:pPr>
            <w:r w:rsidRPr="0082243E">
              <w:rPr>
                <w:color w:val="241E1C"/>
                <w:spacing w:val="-1"/>
                <w:sz w:val="22"/>
                <w:szCs w:val="22"/>
                <w:lang w:val="en-GB"/>
              </w:rPr>
              <w:t xml:space="preserve">     Chief Accountant</w:t>
            </w:r>
            <w:r w:rsidRPr="0082243E">
              <w:rPr>
                <w:sz w:val="22"/>
                <w:szCs w:val="22"/>
                <w:lang w:val="en-GB"/>
              </w:rPr>
              <w:t>:</w:t>
            </w:r>
          </w:p>
        </w:tc>
      </w:tr>
      <w:tr w:rsidR="0082243E" w:rsidRPr="0082243E" w:rsidTr="000554E8">
        <w:trPr>
          <w:trHeight w:val="284"/>
        </w:trPr>
        <w:tc>
          <w:tcPr>
            <w:tcW w:w="4977" w:type="dxa"/>
            <w:tcBorders>
              <w:top w:val="nil"/>
              <w:left w:val="nil"/>
              <w:bottom w:val="nil"/>
              <w:right w:val="nil"/>
            </w:tcBorders>
          </w:tcPr>
          <w:p w:rsidR="0082243E" w:rsidRPr="0082243E" w:rsidRDefault="0082243E" w:rsidP="0082243E">
            <w:pPr>
              <w:rPr>
                <w:lang w:val="en-GB"/>
              </w:rPr>
            </w:pPr>
            <w:r w:rsidRPr="0082243E">
              <w:rPr>
                <w:sz w:val="22"/>
                <w:szCs w:val="22"/>
                <w:lang w:val="en-GB"/>
              </w:rPr>
              <w:t xml:space="preserve">                                         </w:t>
            </w:r>
            <w:r w:rsidRPr="0082243E">
              <w:rPr>
                <w:color w:val="241E1C"/>
                <w:spacing w:val="-1"/>
                <w:sz w:val="22"/>
                <w:szCs w:val="22"/>
                <w:lang w:val="en-GB"/>
              </w:rPr>
              <w:t>Valery Mektupchiyan</w:t>
            </w:r>
          </w:p>
        </w:tc>
        <w:tc>
          <w:tcPr>
            <w:tcW w:w="4507" w:type="dxa"/>
            <w:tcBorders>
              <w:top w:val="nil"/>
              <w:left w:val="nil"/>
              <w:bottom w:val="nil"/>
              <w:right w:val="nil"/>
            </w:tcBorders>
          </w:tcPr>
          <w:p w:rsidR="0082243E" w:rsidRPr="0082243E" w:rsidRDefault="0082243E" w:rsidP="0082243E">
            <w:pPr>
              <w:rPr>
                <w:lang w:val="en-GB"/>
              </w:rPr>
            </w:pPr>
            <w:r w:rsidRPr="0082243E">
              <w:rPr>
                <w:sz w:val="22"/>
                <w:szCs w:val="22"/>
                <w:lang w:val="en-GB"/>
              </w:rPr>
              <w:t xml:space="preserve">                                         </w:t>
            </w:r>
            <w:r w:rsidRPr="0082243E">
              <w:rPr>
                <w:color w:val="241E1C"/>
                <w:spacing w:val="-1"/>
                <w:sz w:val="22"/>
                <w:szCs w:val="22"/>
                <w:lang w:val="en-GB"/>
              </w:rPr>
              <w:t>Stefka Levidzhova</w:t>
            </w:r>
          </w:p>
        </w:tc>
      </w:tr>
    </w:tbl>
    <w:p w:rsidR="0082243E" w:rsidRPr="0082243E" w:rsidRDefault="0082243E" w:rsidP="0082243E">
      <w:pPr>
        <w:tabs>
          <w:tab w:val="center" w:pos="4678"/>
        </w:tabs>
        <w:jc w:val="both"/>
        <w:rPr>
          <w:b/>
          <w:caps/>
          <w:sz w:val="22"/>
          <w:szCs w:val="22"/>
          <w:lang w:val="en-GB"/>
        </w:rPr>
        <w:sectPr w:rsidR="0082243E" w:rsidRPr="0082243E" w:rsidSect="00C46C22">
          <w:headerReference w:type="default" r:id="rId19"/>
          <w:type w:val="continuous"/>
          <w:pgSz w:w="11907" w:h="16840" w:code="9"/>
          <w:pgMar w:top="1411" w:right="1287" w:bottom="1080" w:left="1260" w:header="708" w:footer="708" w:gutter="0"/>
          <w:cols w:space="708"/>
          <w:noEndnote/>
          <w:titlePg/>
        </w:sectPr>
      </w:pPr>
    </w:p>
    <w:p w:rsidR="0082243E" w:rsidRPr="0082243E" w:rsidRDefault="0082243E" w:rsidP="0082243E">
      <w:pPr>
        <w:tabs>
          <w:tab w:val="center" w:pos="4678"/>
        </w:tabs>
        <w:jc w:val="both"/>
        <w:rPr>
          <w:color w:val="241E1C"/>
          <w:spacing w:val="-1"/>
          <w:sz w:val="22"/>
          <w:szCs w:val="22"/>
          <w:lang w:val="en-GB"/>
        </w:rPr>
      </w:pPr>
    </w:p>
    <w:p w:rsidR="0082243E" w:rsidRPr="0082243E" w:rsidRDefault="0082243E" w:rsidP="0082243E">
      <w:pPr>
        <w:tabs>
          <w:tab w:val="center" w:pos="4678"/>
        </w:tabs>
        <w:jc w:val="both"/>
        <w:rPr>
          <w:caps/>
          <w:sz w:val="22"/>
          <w:szCs w:val="22"/>
          <w:lang w:val="en-GB"/>
        </w:rPr>
      </w:pPr>
      <w:r w:rsidRPr="0082243E">
        <w:rPr>
          <w:color w:val="241E1C"/>
          <w:spacing w:val="-1"/>
          <w:sz w:val="22"/>
          <w:szCs w:val="22"/>
          <w:lang w:val="en-GB"/>
        </w:rPr>
        <w:t>Date:</w:t>
      </w:r>
    </w:p>
    <w:p w:rsidR="00E922D1" w:rsidRPr="00C66B91" w:rsidRDefault="00E922D1" w:rsidP="00E922D1">
      <w:pPr>
        <w:rPr>
          <w:b/>
          <w:smallCaps/>
          <w:sz w:val="22"/>
          <w:szCs w:val="22"/>
          <w:lang w:val="en-GB"/>
        </w:rPr>
      </w:pPr>
    </w:p>
    <w:p w:rsidR="00E922D1" w:rsidRPr="00C66B91" w:rsidRDefault="00E922D1" w:rsidP="00E922D1">
      <w:pPr>
        <w:rPr>
          <w:b/>
          <w:smallCaps/>
          <w:sz w:val="22"/>
          <w:szCs w:val="22"/>
          <w:lang w:val="en-GB"/>
        </w:rPr>
        <w:sectPr w:rsidR="00E922D1" w:rsidRPr="00C66B91" w:rsidSect="00C46C22">
          <w:headerReference w:type="default" r:id="rId20"/>
          <w:type w:val="continuous"/>
          <w:pgSz w:w="11907" w:h="16840" w:code="9"/>
          <w:pgMar w:top="1412" w:right="1559" w:bottom="1077" w:left="1259" w:header="709" w:footer="295" w:gutter="0"/>
          <w:cols w:space="708"/>
          <w:noEndnote/>
          <w:titlePg/>
        </w:sectPr>
      </w:pPr>
    </w:p>
    <w:p w:rsidR="000B14CA" w:rsidRPr="00C66B91" w:rsidRDefault="000B14CA" w:rsidP="000B14CA">
      <w:pPr>
        <w:tabs>
          <w:tab w:val="left" w:pos="2865"/>
        </w:tabs>
        <w:jc w:val="both"/>
        <w:rPr>
          <w:b/>
          <w:caps/>
          <w:sz w:val="22"/>
          <w:szCs w:val="22"/>
          <w:lang w:val="en-GB"/>
        </w:rPr>
      </w:pPr>
      <w:r w:rsidRPr="00C66B91">
        <w:rPr>
          <w:b/>
          <w:sz w:val="22"/>
          <w:szCs w:val="22"/>
          <w:lang w:val="en-GB"/>
        </w:rPr>
        <w:lastRenderedPageBreak/>
        <w:t>1. Corporate information</w:t>
      </w:r>
    </w:p>
    <w:p w:rsidR="000B14CA" w:rsidRPr="00C66B91" w:rsidRDefault="000B14CA" w:rsidP="000B14CA">
      <w:pPr>
        <w:tabs>
          <w:tab w:val="left" w:pos="2865"/>
        </w:tabs>
        <w:jc w:val="both"/>
        <w:rPr>
          <w:b/>
          <w:caps/>
          <w:sz w:val="22"/>
          <w:szCs w:val="22"/>
          <w:lang w:val="en-GB"/>
        </w:rPr>
      </w:pPr>
    </w:p>
    <w:p w:rsidR="000B14CA" w:rsidRPr="00C66B91" w:rsidRDefault="000B14CA" w:rsidP="000B14CA">
      <w:pPr>
        <w:keepNext/>
        <w:jc w:val="both"/>
        <w:rPr>
          <w:b/>
          <w:sz w:val="22"/>
          <w:szCs w:val="22"/>
          <w:lang w:val="en-GB"/>
        </w:rPr>
      </w:pPr>
      <w:r w:rsidRPr="00C66B91">
        <w:rPr>
          <w:b/>
          <w:sz w:val="22"/>
          <w:szCs w:val="22"/>
          <w:lang w:val="en-GB"/>
        </w:rPr>
        <w:t>1.1 Parent Company</w:t>
      </w:r>
    </w:p>
    <w:p w:rsidR="000B14CA" w:rsidRPr="00C66B91" w:rsidRDefault="000B14CA" w:rsidP="000B14CA">
      <w:pPr>
        <w:keepNext/>
        <w:jc w:val="both"/>
        <w:rPr>
          <w:sz w:val="22"/>
          <w:szCs w:val="22"/>
          <w:lang w:val="en-GB"/>
        </w:rPr>
      </w:pPr>
    </w:p>
    <w:p w:rsidR="000B14CA" w:rsidRPr="00C66B91" w:rsidRDefault="000B14CA" w:rsidP="000B14CA">
      <w:pPr>
        <w:keepNext/>
        <w:jc w:val="both"/>
        <w:rPr>
          <w:sz w:val="22"/>
          <w:szCs w:val="22"/>
          <w:lang w:val="en-GB"/>
        </w:rPr>
      </w:pPr>
      <w:r w:rsidRPr="00C66B91">
        <w:rPr>
          <w:sz w:val="22"/>
          <w:szCs w:val="22"/>
          <w:lang w:val="en-GB"/>
        </w:rPr>
        <w:t xml:space="preserve">“Speedy” AD (“the Parent Company”) is a joint-stock company, registered under file No 1455/2005 with the Sofia City Court in accordance with the Commercial Act of the Republic of Bulgaria. </w:t>
      </w:r>
    </w:p>
    <w:p w:rsidR="000B14CA" w:rsidRPr="00C66B91" w:rsidRDefault="000B14CA" w:rsidP="000B14CA">
      <w:pPr>
        <w:keepNext/>
        <w:jc w:val="both"/>
        <w:rPr>
          <w:sz w:val="22"/>
          <w:szCs w:val="22"/>
          <w:lang w:val="en-GB"/>
        </w:rPr>
      </w:pPr>
    </w:p>
    <w:p w:rsidR="000B14CA" w:rsidRPr="00C66B91" w:rsidRDefault="000B14CA" w:rsidP="000B14CA">
      <w:pPr>
        <w:keepNext/>
        <w:jc w:val="both"/>
        <w:rPr>
          <w:sz w:val="22"/>
          <w:szCs w:val="22"/>
          <w:lang w:val="en-GB"/>
        </w:rPr>
      </w:pPr>
      <w:r w:rsidRPr="00C66B91">
        <w:rPr>
          <w:sz w:val="22"/>
          <w:szCs w:val="22"/>
          <w:lang w:val="en-GB"/>
        </w:rPr>
        <w:t>The seat and the registered address of the Parent Company are in the city of Sofia, 2L Samokovsko shose Street, Boila Trade Center.</w:t>
      </w:r>
    </w:p>
    <w:p w:rsidR="000B14CA" w:rsidRPr="00C66B91" w:rsidRDefault="000B14CA" w:rsidP="000B14CA">
      <w:pPr>
        <w:rPr>
          <w:lang w:val="en-GB"/>
        </w:rPr>
      </w:pPr>
    </w:p>
    <w:p w:rsidR="000B14CA" w:rsidRPr="00C66B91" w:rsidRDefault="000B14CA" w:rsidP="000B14CA">
      <w:pPr>
        <w:jc w:val="both"/>
        <w:rPr>
          <w:sz w:val="22"/>
          <w:szCs w:val="22"/>
          <w:lang w:val="en-GB"/>
        </w:rPr>
      </w:pPr>
      <w:r w:rsidRPr="00C66B91">
        <w:rPr>
          <w:sz w:val="22"/>
          <w:szCs w:val="22"/>
          <w:lang w:val="en-GB"/>
        </w:rPr>
        <w:t>The principal activity of the Parent Company mainly consists in the provision of courier services, for which the Communications Regulation Commission has issued Certificate No 0062 of 3.11.2009, as well as forwarding, processing, warehousing and distribution of documents, goods and cargo, domestic and international transport and any other activities that are not prohibited by the law.</w:t>
      </w:r>
    </w:p>
    <w:p w:rsidR="000B14CA" w:rsidRPr="00C66B91" w:rsidRDefault="000B14CA" w:rsidP="000B14CA">
      <w:pPr>
        <w:jc w:val="both"/>
        <w:rPr>
          <w:sz w:val="22"/>
          <w:szCs w:val="22"/>
          <w:lang w:val="en-GB"/>
        </w:rPr>
      </w:pPr>
    </w:p>
    <w:p w:rsidR="000B14CA" w:rsidRPr="00C66B91" w:rsidRDefault="000B14CA" w:rsidP="000B14CA">
      <w:pPr>
        <w:jc w:val="both"/>
        <w:rPr>
          <w:sz w:val="22"/>
          <w:szCs w:val="22"/>
          <w:lang w:val="en-GB"/>
        </w:rPr>
      </w:pPr>
      <w:r w:rsidRPr="00C66B91">
        <w:rPr>
          <w:sz w:val="22"/>
          <w:szCs w:val="22"/>
          <w:lang w:val="en-GB"/>
        </w:rPr>
        <w:t>The Parent Company was listed at the Bulgarian Stock Exchange on 12 November 2012.</w:t>
      </w:r>
    </w:p>
    <w:p w:rsidR="000B14CA" w:rsidRPr="00C66B91" w:rsidRDefault="000B14CA" w:rsidP="000B14CA">
      <w:pPr>
        <w:jc w:val="both"/>
        <w:rPr>
          <w:sz w:val="22"/>
          <w:szCs w:val="22"/>
          <w:lang w:val="en-GB"/>
        </w:rPr>
      </w:pPr>
    </w:p>
    <w:p w:rsidR="000B14CA" w:rsidRPr="00C66B91" w:rsidRDefault="000B14CA" w:rsidP="000B14CA">
      <w:pPr>
        <w:jc w:val="both"/>
        <w:rPr>
          <w:sz w:val="22"/>
          <w:szCs w:val="22"/>
          <w:lang w:val="en-GB"/>
        </w:rPr>
      </w:pPr>
      <w:r w:rsidRPr="00C66B91">
        <w:rPr>
          <w:sz w:val="22"/>
          <w:szCs w:val="22"/>
          <w:lang w:val="en-GB"/>
        </w:rPr>
        <w:t>The Parent Company is managed through a one-tier management system – Board of Directors.</w:t>
      </w:r>
    </w:p>
    <w:p w:rsidR="000B14CA" w:rsidRPr="00C66B91" w:rsidRDefault="000B14CA" w:rsidP="000B14CA">
      <w:pPr>
        <w:jc w:val="both"/>
        <w:rPr>
          <w:sz w:val="22"/>
          <w:szCs w:val="22"/>
          <w:lang w:val="en-GB"/>
        </w:rPr>
      </w:pPr>
    </w:p>
    <w:p w:rsidR="000B14CA" w:rsidRPr="00C66B91" w:rsidRDefault="000B14CA" w:rsidP="000B14CA">
      <w:pPr>
        <w:jc w:val="both"/>
        <w:rPr>
          <w:sz w:val="22"/>
          <w:szCs w:val="22"/>
          <w:lang w:val="en-GB"/>
        </w:rPr>
      </w:pPr>
      <w:r w:rsidRPr="00C66B91">
        <w:rPr>
          <w:sz w:val="22"/>
          <w:szCs w:val="22"/>
          <w:lang w:val="en-GB"/>
        </w:rPr>
        <w:t>As of 31 December 2014, the members of the Board of Directors were:</w:t>
      </w:r>
    </w:p>
    <w:p w:rsidR="000B14CA" w:rsidRPr="00C66B91" w:rsidRDefault="000B14CA" w:rsidP="000B14CA">
      <w:pPr>
        <w:jc w:val="both"/>
        <w:rPr>
          <w:sz w:val="22"/>
          <w:szCs w:val="22"/>
          <w:lang w:val="en-GB"/>
        </w:rPr>
      </w:pPr>
    </w:p>
    <w:p w:rsidR="000B14CA" w:rsidRPr="00C66B91" w:rsidRDefault="000B14CA" w:rsidP="000B14CA">
      <w:pPr>
        <w:jc w:val="both"/>
        <w:rPr>
          <w:sz w:val="22"/>
          <w:szCs w:val="22"/>
          <w:lang w:val="en-GB"/>
        </w:rPr>
      </w:pPr>
      <w:r w:rsidRPr="00C66B91">
        <w:rPr>
          <w:sz w:val="22"/>
          <w:szCs w:val="22"/>
          <w:lang w:val="en-GB"/>
        </w:rPr>
        <w:t>1. Valery Harutyun Mektupchiyan</w:t>
      </w:r>
    </w:p>
    <w:p w:rsidR="000B14CA" w:rsidRPr="00C66B91" w:rsidRDefault="000B14CA" w:rsidP="000B14CA">
      <w:pPr>
        <w:jc w:val="both"/>
        <w:rPr>
          <w:sz w:val="22"/>
          <w:szCs w:val="22"/>
          <w:lang w:val="en-GB"/>
        </w:rPr>
      </w:pPr>
      <w:r w:rsidRPr="00C66B91">
        <w:rPr>
          <w:sz w:val="22"/>
          <w:szCs w:val="22"/>
          <w:lang w:val="en-GB"/>
        </w:rPr>
        <w:t>2. Georgi Ivanov Glogov</w:t>
      </w:r>
    </w:p>
    <w:p w:rsidR="000B14CA" w:rsidRPr="00C66B91" w:rsidRDefault="000B14CA" w:rsidP="000B14CA">
      <w:pPr>
        <w:jc w:val="both"/>
        <w:rPr>
          <w:sz w:val="22"/>
          <w:szCs w:val="22"/>
          <w:lang w:val="en-GB"/>
        </w:rPr>
      </w:pPr>
      <w:r w:rsidRPr="00C66B91">
        <w:rPr>
          <w:sz w:val="22"/>
          <w:szCs w:val="22"/>
          <w:lang w:val="en-GB"/>
        </w:rPr>
        <w:t>3. Danail Vasilev Danailov</w:t>
      </w:r>
    </w:p>
    <w:p w:rsidR="000B14CA" w:rsidRPr="00C66B91" w:rsidRDefault="000B14CA" w:rsidP="000B14CA">
      <w:pPr>
        <w:jc w:val="both"/>
        <w:rPr>
          <w:sz w:val="22"/>
          <w:szCs w:val="22"/>
          <w:lang w:val="en-GB"/>
        </w:rPr>
      </w:pPr>
    </w:p>
    <w:p w:rsidR="000B14CA" w:rsidRPr="00C66B91" w:rsidRDefault="000B14CA" w:rsidP="000B14CA">
      <w:pPr>
        <w:jc w:val="both"/>
        <w:rPr>
          <w:sz w:val="22"/>
          <w:szCs w:val="22"/>
          <w:lang w:val="en-GB"/>
        </w:rPr>
      </w:pPr>
      <w:r w:rsidRPr="00C66B91">
        <w:rPr>
          <w:sz w:val="22"/>
          <w:szCs w:val="22"/>
          <w:lang w:val="en-GB"/>
        </w:rPr>
        <w:t>As of 23 February 2015, the members of the Board of Directors are:</w:t>
      </w:r>
    </w:p>
    <w:p w:rsidR="000B14CA" w:rsidRPr="00C66B91" w:rsidRDefault="000B14CA" w:rsidP="000B14CA">
      <w:pPr>
        <w:jc w:val="both"/>
        <w:rPr>
          <w:sz w:val="22"/>
          <w:szCs w:val="22"/>
          <w:lang w:val="en-GB"/>
        </w:rPr>
      </w:pPr>
    </w:p>
    <w:p w:rsidR="000B14CA" w:rsidRPr="00C66B91" w:rsidRDefault="000B14CA" w:rsidP="000B14CA">
      <w:pPr>
        <w:jc w:val="both"/>
        <w:rPr>
          <w:sz w:val="22"/>
          <w:szCs w:val="22"/>
          <w:lang w:val="en-GB"/>
        </w:rPr>
      </w:pPr>
      <w:r w:rsidRPr="00C66B91">
        <w:rPr>
          <w:sz w:val="22"/>
          <w:szCs w:val="22"/>
          <w:lang w:val="en-GB"/>
        </w:rPr>
        <w:t>1. Valery Harutyun Mektupchiyan</w:t>
      </w:r>
    </w:p>
    <w:p w:rsidR="000B14CA" w:rsidRPr="00C66B91" w:rsidRDefault="000B14CA" w:rsidP="000B14CA">
      <w:pPr>
        <w:jc w:val="both"/>
        <w:rPr>
          <w:sz w:val="22"/>
          <w:szCs w:val="22"/>
          <w:lang w:val="en-GB"/>
        </w:rPr>
      </w:pPr>
      <w:r w:rsidRPr="00C66B91">
        <w:rPr>
          <w:sz w:val="22"/>
          <w:szCs w:val="22"/>
          <w:lang w:val="en-GB"/>
        </w:rPr>
        <w:t>2. Georgi Ivanov Glogov</w:t>
      </w:r>
    </w:p>
    <w:p w:rsidR="000B14CA" w:rsidRPr="00C66B91" w:rsidRDefault="000B14CA" w:rsidP="000B14CA">
      <w:pPr>
        <w:jc w:val="both"/>
        <w:rPr>
          <w:sz w:val="22"/>
          <w:szCs w:val="22"/>
          <w:lang w:val="en-GB"/>
        </w:rPr>
      </w:pPr>
      <w:r w:rsidRPr="00C66B91">
        <w:rPr>
          <w:sz w:val="22"/>
          <w:szCs w:val="22"/>
          <w:lang w:val="en-GB"/>
        </w:rPr>
        <w:t>3. Danail Vasilev Danailov</w:t>
      </w:r>
    </w:p>
    <w:p w:rsidR="000B14CA" w:rsidRPr="00C66B91" w:rsidRDefault="000B14CA" w:rsidP="000B14CA">
      <w:pPr>
        <w:jc w:val="both"/>
        <w:rPr>
          <w:sz w:val="22"/>
          <w:szCs w:val="22"/>
          <w:lang w:val="en-GB"/>
        </w:rPr>
      </w:pPr>
      <w:r w:rsidRPr="00C66B91">
        <w:rPr>
          <w:sz w:val="22"/>
          <w:szCs w:val="22"/>
          <w:lang w:val="en-GB"/>
        </w:rPr>
        <w:t>4. Nedelcho Asparuhov Bonev</w:t>
      </w:r>
    </w:p>
    <w:p w:rsidR="000B14CA" w:rsidRPr="00C66B91" w:rsidRDefault="000B14CA" w:rsidP="000B14CA">
      <w:pPr>
        <w:jc w:val="both"/>
        <w:rPr>
          <w:sz w:val="22"/>
          <w:szCs w:val="22"/>
          <w:lang w:val="en-GB"/>
        </w:rPr>
      </w:pPr>
      <w:r w:rsidRPr="00C66B91">
        <w:rPr>
          <w:sz w:val="22"/>
          <w:szCs w:val="22"/>
          <w:lang w:val="en-GB"/>
        </w:rPr>
        <w:t>5. Cedric Favne-Lorraine</w:t>
      </w:r>
    </w:p>
    <w:p w:rsidR="000B14CA" w:rsidRPr="00C66B91" w:rsidRDefault="000B14CA" w:rsidP="000B14CA">
      <w:pPr>
        <w:jc w:val="both"/>
        <w:rPr>
          <w:sz w:val="22"/>
          <w:szCs w:val="22"/>
          <w:lang w:val="en-GB"/>
        </w:rPr>
      </w:pPr>
    </w:p>
    <w:p w:rsidR="000B14CA" w:rsidRPr="00C66B91" w:rsidRDefault="000B14CA" w:rsidP="000B14CA">
      <w:pPr>
        <w:jc w:val="both"/>
        <w:rPr>
          <w:sz w:val="22"/>
          <w:szCs w:val="22"/>
          <w:lang w:val="en-GB"/>
        </w:rPr>
      </w:pPr>
      <w:r w:rsidRPr="00C66B91">
        <w:rPr>
          <w:sz w:val="22"/>
          <w:szCs w:val="22"/>
          <w:lang w:val="en-GB"/>
        </w:rPr>
        <w:t>As of 11 June 2015, the members of the Board of Directors are:</w:t>
      </w:r>
    </w:p>
    <w:p w:rsidR="000B14CA" w:rsidRPr="00C66B91" w:rsidRDefault="000B14CA" w:rsidP="000B14CA">
      <w:pPr>
        <w:jc w:val="both"/>
        <w:rPr>
          <w:sz w:val="22"/>
          <w:szCs w:val="22"/>
          <w:lang w:val="en-GB"/>
        </w:rPr>
      </w:pPr>
    </w:p>
    <w:p w:rsidR="000B14CA" w:rsidRPr="00C66B91" w:rsidRDefault="000B14CA" w:rsidP="000B14CA">
      <w:pPr>
        <w:jc w:val="both"/>
        <w:rPr>
          <w:sz w:val="22"/>
          <w:szCs w:val="22"/>
          <w:lang w:val="en-GB"/>
        </w:rPr>
      </w:pPr>
      <w:r w:rsidRPr="00C66B91">
        <w:rPr>
          <w:sz w:val="22"/>
          <w:szCs w:val="22"/>
          <w:lang w:val="en-GB"/>
        </w:rPr>
        <w:t>1. Valery Harutyun Mektupchiyan</w:t>
      </w:r>
    </w:p>
    <w:p w:rsidR="000B14CA" w:rsidRPr="00C66B91" w:rsidRDefault="000B14CA" w:rsidP="000B14CA">
      <w:pPr>
        <w:jc w:val="both"/>
        <w:rPr>
          <w:sz w:val="22"/>
          <w:szCs w:val="22"/>
          <w:lang w:val="en-GB"/>
        </w:rPr>
      </w:pPr>
      <w:r w:rsidRPr="00C66B91">
        <w:rPr>
          <w:sz w:val="22"/>
          <w:szCs w:val="22"/>
          <w:lang w:val="en-GB"/>
        </w:rPr>
        <w:t>2. Georgi Ivanov Glogov</w:t>
      </w:r>
    </w:p>
    <w:p w:rsidR="000B14CA" w:rsidRPr="00C66B91" w:rsidRDefault="000B14CA" w:rsidP="000B14CA">
      <w:pPr>
        <w:jc w:val="both"/>
        <w:rPr>
          <w:sz w:val="22"/>
          <w:szCs w:val="22"/>
          <w:lang w:val="en-GB"/>
        </w:rPr>
      </w:pPr>
      <w:r w:rsidRPr="00C66B91">
        <w:rPr>
          <w:sz w:val="22"/>
          <w:szCs w:val="22"/>
          <w:lang w:val="en-GB"/>
        </w:rPr>
        <w:t>3. Danail Vasilev Danailov</w:t>
      </w:r>
    </w:p>
    <w:p w:rsidR="000B14CA" w:rsidRPr="00C66B91" w:rsidRDefault="000B14CA" w:rsidP="000B14CA">
      <w:pPr>
        <w:jc w:val="both"/>
        <w:rPr>
          <w:sz w:val="22"/>
          <w:szCs w:val="22"/>
          <w:lang w:val="en-GB"/>
        </w:rPr>
      </w:pPr>
      <w:r w:rsidRPr="00C66B91">
        <w:rPr>
          <w:sz w:val="22"/>
          <w:szCs w:val="22"/>
          <w:lang w:val="en-GB"/>
        </w:rPr>
        <w:t>4. Avak Stepan Terzian</w:t>
      </w:r>
    </w:p>
    <w:p w:rsidR="000B14CA" w:rsidRPr="00C66B91" w:rsidRDefault="000B14CA" w:rsidP="000B14CA">
      <w:pPr>
        <w:jc w:val="both"/>
        <w:rPr>
          <w:sz w:val="22"/>
          <w:szCs w:val="22"/>
          <w:lang w:val="en-GB"/>
        </w:rPr>
      </w:pPr>
      <w:r w:rsidRPr="00C66B91">
        <w:rPr>
          <w:sz w:val="22"/>
          <w:szCs w:val="22"/>
          <w:lang w:val="en-GB"/>
        </w:rPr>
        <w:t>5. Cedric Favne-Lorraine</w:t>
      </w:r>
    </w:p>
    <w:p w:rsidR="000B14CA" w:rsidRPr="00C66B91" w:rsidRDefault="000B14CA" w:rsidP="000B14CA">
      <w:pPr>
        <w:jc w:val="both"/>
        <w:rPr>
          <w:sz w:val="22"/>
          <w:szCs w:val="22"/>
          <w:lang w:val="en-GB"/>
        </w:rPr>
      </w:pPr>
      <w:r w:rsidRPr="00C66B91">
        <w:rPr>
          <w:sz w:val="22"/>
          <w:szCs w:val="22"/>
          <w:lang w:val="en-GB"/>
        </w:rPr>
        <w:t>The Parent Company is represented by the Executive Director Valery Harutyun Mektupchiyan.</w:t>
      </w:r>
    </w:p>
    <w:p w:rsidR="000B14CA" w:rsidRPr="00C66B91" w:rsidRDefault="000B14CA" w:rsidP="000B14CA">
      <w:pPr>
        <w:jc w:val="both"/>
        <w:rPr>
          <w:sz w:val="22"/>
          <w:szCs w:val="22"/>
          <w:lang w:val="en-GB"/>
        </w:rPr>
      </w:pPr>
    </w:p>
    <w:p w:rsidR="000B14CA" w:rsidRPr="00C66B91" w:rsidRDefault="000B14CA" w:rsidP="000B14CA">
      <w:pPr>
        <w:jc w:val="both"/>
        <w:rPr>
          <w:sz w:val="22"/>
          <w:szCs w:val="22"/>
          <w:lang w:val="en-GB"/>
        </w:rPr>
      </w:pPr>
      <w:r w:rsidRPr="00C66B91">
        <w:rPr>
          <w:sz w:val="22"/>
          <w:szCs w:val="22"/>
          <w:lang w:val="en-GB"/>
        </w:rPr>
        <w:t>The ultimate owner of the Parent Company is Valery Harutyun Mektupchiyan.</w:t>
      </w:r>
    </w:p>
    <w:p w:rsidR="00544DA5" w:rsidRPr="00C66B91" w:rsidRDefault="00544DA5" w:rsidP="00E922D1">
      <w:pPr>
        <w:jc w:val="both"/>
        <w:rPr>
          <w:sz w:val="22"/>
          <w:szCs w:val="22"/>
          <w:lang w:val="en-GB"/>
        </w:rPr>
      </w:pPr>
    </w:p>
    <w:p w:rsidR="00FB5145" w:rsidRPr="00C66B91" w:rsidRDefault="00FB5145" w:rsidP="00FB5145">
      <w:pPr>
        <w:jc w:val="both"/>
        <w:rPr>
          <w:b/>
          <w:sz w:val="22"/>
          <w:szCs w:val="22"/>
          <w:lang w:val="en-GB"/>
        </w:rPr>
      </w:pPr>
      <w:r w:rsidRPr="00C66B91">
        <w:rPr>
          <w:b/>
          <w:sz w:val="22"/>
          <w:szCs w:val="22"/>
          <w:lang w:val="en-GB"/>
        </w:rPr>
        <w:t>1.2 Subsidiary companies</w:t>
      </w:r>
    </w:p>
    <w:p w:rsidR="00FB5145" w:rsidRPr="00C66B91" w:rsidRDefault="00FB5145" w:rsidP="00FB5145">
      <w:pPr>
        <w:jc w:val="both"/>
        <w:rPr>
          <w:b/>
          <w:sz w:val="22"/>
          <w:szCs w:val="22"/>
          <w:lang w:val="en-GB"/>
        </w:rPr>
      </w:pPr>
    </w:p>
    <w:p w:rsidR="00FB5145" w:rsidRPr="00C66B91" w:rsidRDefault="00FB5145" w:rsidP="00FB5145">
      <w:pPr>
        <w:jc w:val="both"/>
        <w:rPr>
          <w:sz w:val="22"/>
          <w:szCs w:val="22"/>
          <w:lang w:val="en-GB"/>
        </w:rPr>
      </w:pPr>
      <w:r w:rsidRPr="00C66B91">
        <w:rPr>
          <w:sz w:val="22"/>
          <w:szCs w:val="22"/>
          <w:lang w:val="en-GB"/>
        </w:rPr>
        <w:t>As at 30 June 2015, the subsidiary companies in the Group are:</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 xml:space="preserve">SPEEDY EOOD – commercial company, registered in Bulgaria, with UIC 115260535 and with seat and registered address: Bulgaria, Plovdiv Region, Maritsa Municipality, village of Trud, 42 “Karlovsko shose”. </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The object of the company consists in import and export, forwarding services, production of and trade in all types of goods in the country and abroad, intermediation, distribution of all types of goods and any other activity that is not prohibited by the law. The fixed capital of the company comes up to BGN 982,200.</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Geopost Bulgaria EOOD – commercial company, registered in Bulgaria, with UIC 131330260 and with seat and registered address: Bulgaria, Sofia Region, Sofia Municipality, city of Sofia, 2L “Samokovsko shose” Street, Boila Trade Center.</w:t>
      </w:r>
    </w:p>
    <w:p w:rsidR="00FB5145" w:rsidRPr="00C66B91" w:rsidRDefault="00FB5145" w:rsidP="00FB5145">
      <w:pPr>
        <w:jc w:val="both"/>
        <w:rPr>
          <w:sz w:val="22"/>
          <w:szCs w:val="22"/>
          <w:lang w:val="en-GB"/>
        </w:rPr>
      </w:pPr>
      <w:r w:rsidRPr="00C66B91">
        <w:rPr>
          <w:sz w:val="22"/>
          <w:szCs w:val="22"/>
          <w:lang w:val="en-GB"/>
        </w:rPr>
        <w:t>The object of the company consists in the provision of courier services, forwarding, processing, warehousing and distribution of documents, goods and cargo, domestic and international transport, import and export of goods, commercial representation and intermediation of Bulgarian and non-resident natural persons and legal entities, activity as an insurance agent and any other activity that is not prohibited by the law. The fixed capital of the company comes up to BGN 80 thousand.</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Dynamic Parcel Distribution S.A., Romania – commercial company, registered in Romania with single registration code (SRC) 9566918 and with seat and registered address: Romania, Ilfov Region, city of Buftea, 20 “Tamash” Street, hall 4A and 4B. The object of the company consists in forwarding and courier services. The share capital of the company comes up to RON 90 thousand.</w:t>
      </w:r>
    </w:p>
    <w:p w:rsidR="00FB5145" w:rsidRPr="00C66B91" w:rsidRDefault="00FB5145" w:rsidP="00FB5145">
      <w:pPr>
        <w:jc w:val="both"/>
        <w:rPr>
          <w:b/>
          <w:bCs/>
          <w:sz w:val="22"/>
          <w:szCs w:val="22"/>
          <w:lang w:val="en-GB"/>
        </w:rPr>
      </w:pPr>
    </w:p>
    <w:p w:rsidR="00FB5145" w:rsidRPr="00C66B91" w:rsidRDefault="00FB5145" w:rsidP="00FB5145">
      <w:pPr>
        <w:jc w:val="both"/>
        <w:rPr>
          <w:b/>
          <w:bCs/>
          <w:sz w:val="22"/>
          <w:szCs w:val="22"/>
          <w:lang w:val="en-GB"/>
        </w:rPr>
      </w:pPr>
      <w:r w:rsidRPr="00C66B91">
        <w:rPr>
          <w:b/>
          <w:bCs/>
          <w:sz w:val="22"/>
          <w:szCs w:val="22"/>
          <w:lang w:val="en-GB"/>
        </w:rPr>
        <w:t xml:space="preserve">2. </w:t>
      </w:r>
      <w:r w:rsidRPr="00C66B91">
        <w:rPr>
          <w:b/>
          <w:sz w:val="22"/>
          <w:szCs w:val="22"/>
          <w:lang w:val="en-GB"/>
        </w:rPr>
        <w:t>Accounting policy</w:t>
      </w:r>
    </w:p>
    <w:p w:rsidR="00FB5145" w:rsidRPr="00C66B91" w:rsidRDefault="00FB5145" w:rsidP="00FB5145">
      <w:pPr>
        <w:jc w:val="both"/>
        <w:rPr>
          <w:b/>
          <w:bCs/>
          <w:sz w:val="22"/>
          <w:szCs w:val="22"/>
          <w:lang w:val="en-GB"/>
        </w:rPr>
      </w:pPr>
    </w:p>
    <w:p w:rsidR="00FB5145" w:rsidRPr="00C66B91" w:rsidRDefault="00FB5145" w:rsidP="00FB5145">
      <w:pPr>
        <w:jc w:val="both"/>
        <w:rPr>
          <w:b/>
          <w:bCs/>
          <w:sz w:val="22"/>
          <w:szCs w:val="22"/>
          <w:lang w:val="en-GB"/>
        </w:rPr>
      </w:pPr>
      <w:r w:rsidRPr="00C66B91">
        <w:rPr>
          <w:b/>
          <w:bCs/>
          <w:sz w:val="22"/>
          <w:szCs w:val="22"/>
          <w:lang w:val="en-GB"/>
        </w:rPr>
        <w:t>2.1 Basis for preparation of the financial statement</w:t>
      </w:r>
    </w:p>
    <w:p w:rsidR="00FB5145" w:rsidRPr="00C66B91" w:rsidRDefault="00FB5145" w:rsidP="00FB5145">
      <w:pPr>
        <w:jc w:val="both"/>
        <w:rPr>
          <w:b/>
          <w:bCs/>
          <w:sz w:val="22"/>
          <w:szCs w:val="22"/>
          <w:lang w:val="en-GB"/>
        </w:rPr>
      </w:pPr>
    </w:p>
    <w:p w:rsidR="00FB5145" w:rsidRPr="00C66B91" w:rsidRDefault="00FB5145" w:rsidP="00FB5145">
      <w:pPr>
        <w:jc w:val="both"/>
        <w:rPr>
          <w:b/>
          <w:bCs/>
          <w:sz w:val="22"/>
          <w:szCs w:val="22"/>
          <w:lang w:val="en-GB"/>
        </w:rPr>
      </w:pPr>
      <w:r w:rsidRPr="00C66B91">
        <w:rPr>
          <w:b/>
          <w:bCs/>
          <w:sz w:val="22"/>
          <w:szCs w:val="22"/>
          <w:lang w:val="en-GB"/>
        </w:rPr>
        <w:t>General provisions</w:t>
      </w:r>
    </w:p>
    <w:p w:rsidR="00E922D1" w:rsidRPr="00C66B91" w:rsidRDefault="00E922D1" w:rsidP="00E922D1">
      <w:pPr>
        <w:jc w:val="both"/>
        <w:rPr>
          <w:b/>
          <w:bCs/>
          <w:sz w:val="22"/>
          <w:szCs w:val="22"/>
          <w:lang w:val="en-GB"/>
        </w:rPr>
      </w:pPr>
    </w:p>
    <w:p w:rsidR="00FB5145" w:rsidRPr="00C66B91" w:rsidRDefault="00FB5145" w:rsidP="00FB5145">
      <w:pPr>
        <w:jc w:val="both"/>
        <w:rPr>
          <w:sz w:val="22"/>
          <w:szCs w:val="22"/>
          <w:lang w:val="en-GB"/>
        </w:rPr>
      </w:pPr>
      <w:r w:rsidRPr="00C66B91">
        <w:rPr>
          <w:sz w:val="22"/>
          <w:szCs w:val="22"/>
          <w:lang w:val="en-GB"/>
        </w:rPr>
        <w:t>The annual consolidated financial statement is drawn up for the period 1 January 2014 – 31 December 2014 in accordance with the International Financial Reporting Standards (IFRS), which are applicable in the Republic of Bulgaria. The International Financial Reporting Standards include the International Financial Reporting Standards and the interpretations of the IFRS Interpretations Committee (IFRIC), approved by the International Accounting Standards Board, and the International Accounting Standards (IAS) and the interpretations of the Standing Interpretations Committee (SIC), approved by the International Accounting Standards Board (IASB), adopted by the Commission of the European Union.</w:t>
      </w:r>
    </w:p>
    <w:p w:rsidR="00FB5145" w:rsidRPr="00C66B91" w:rsidRDefault="00FB5145" w:rsidP="00FB5145">
      <w:pPr>
        <w:ind w:right="-18"/>
        <w:rPr>
          <w:lang w:val="en-GB"/>
        </w:rPr>
      </w:pPr>
    </w:p>
    <w:p w:rsidR="00FB5145" w:rsidRPr="00C66B91" w:rsidRDefault="00FB5145" w:rsidP="00FB5145">
      <w:pPr>
        <w:jc w:val="both"/>
        <w:rPr>
          <w:sz w:val="22"/>
          <w:szCs w:val="22"/>
          <w:lang w:val="en-GB"/>
        </w:rPr>
      </w:pPr>
      <w:r w:rsidRPr="00C66B91">
        <w:rPr>
          <w:sz w:val="22"/>
          <w:szCs w:val="22"/>
          <w:lang w:val="en-GB"/>
        </w:rPr>
        <w:t xml:space="preserve">The annual consolidated financial statement is drawn up in Bulgarian levs, which is the functional currency of the Group. All sums are presented in thousand BGN (‘000 BGN) (including the comparative information for 2013), unless otherwise specified. </w:t>
      </w:r>
      <w:r w:rsidRPr="00C66B91">
        <w:rPr>
          <w:spacing w:val="-2"/>
          <w:sz w:val="22"/>
          <w:szCs w:val="22"/>
          <w:lang w:val="en-GB"/>
        </w:rPr>
        <w:t>The statements of the non-resident company are recalculated from the local currency into BGN for the purposes of each consolidated financial statement in accordance with the policy of the Group.</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The consolidated financial statement is drawn up in adherence to the going-concern principle.</w:t>
      </w:r>
    </w:p>
    <w:p w:rsidR="00FB5145" w:rsidRPr="00C66B91" w:rsidRDefault="00FB5145" w:rsidP="00FB5145">
      <w:pPr>
        <w:ind w:right="-18"/>
        <w:rPr>
          <w:lang w:val="en-GB"/>
        </w:rPr>
      </w:pPr>
    </w:p>
    <w:p w:rsidR="00FB5145" w:rsidRPr="00C66B91" w:rsidRDefault="00FB5145" w:rsidP="00FB5145">
      <w:pPr>
        <w:jc w:val="both"/>
        <w:rPr>
          <w:sz w:val="22"/>
          <w:szCs w:val="22"/>
          <w:lang w:val="en-GB"/>
        </w:rPr>
      </w:pPr>
      <w:r w:rsidRPr="00C66B91">
        <w:rPr>
          <w:sz w:val="22"/>
          <w:szCs w:val="22"/>
          <w:lang w:val="en-GB"/>
        </w:rPr>
        <w:t>As at the date of preparation of this financial statement, the management made an evaluation of the Group’s ability to continue its activity on a going-concern basis. For the purposes of such evaluation the management took into account all the available information of the foreseeable future, which is at least, but not limited to twelve months as of the end of the reporting period.</w:t>
      </w:r>
    </w:p>
    <w:p w:rsidR="00FB5145" w:rsidRPr="00C66B91" w:rsidRDefault="00FB5145" w:rsidP="00FB5145">
      <w:pPr>
        <w:jc w:val="both"/>
        <w:rPr>
          <w:sz w:val="22"/>
          <w:szCs w:val="22"/>
          <w:lang w:val="en-GB"/>
        </w:rPr>
      </w:pPr>
    </w:p>
    <w:p w:rsidR="00FB5145" w:rsidRPr="00C66B91" w:rsidRDefault="00FB5145" w:rsidP="00FB5145">
      <w:pPr>
        <w:rPr>
          <w:b/>
          <w:szCs w:val="22"/>
          <w:lang w:val="en-GB"/>
        </w:rPr>
      </w:pPr>
      <w:r w:rsidRPr="00C66B91">
        <w:rPr>
          <w:b/>
          <w:szCs w:val="22"/>
          <w:lang w:val="en-GB"/>
        </w:rPr>
        <w:t>Basis for consolidation</w:t>
      </w:r>
    </w:p>
    <w:p w:rsidR="00FB5145" w:rsidRPr="00C66B91" w:rsidRDefault="00FB5145" w:rsidP="00FB5145">
      <w:pPr>
        <w:rPr>
          <w:szCs w:val="22"/>
          <w:lang w:val="en-GB"/>
        </w:rPr>
      </w:pPr>
    </w:p>
    <w:p w:rsidR="00FB5145" w:rsidRPr="00C66B91" w:rsidRDefault="00FB5145" w:rsidP="00FB5145">
      <w:pPr>
        <w:jc w:val="both"/>
        <w:rPr>
          <w:sz w:val="22"/>
          <w:szCs w:val="22"/>
          <w:lang w:val="en-GB"/>
        </w:rPr>
      </w:pPr>
      <w:r w:rsidRPr="00C66B91">
        <w:rPr>
          <w:sz w:val="22"/>
          <w:szCs w:val="22"/>
          <w:lang w:val="en-GB"/>
        </w:rPr>
        <w:t>Subsidiary company: company, in which SPEEDY AD, whether directly or indirectly, holds more than 50 % of the votes or is entitled to appoint more than half of the members of the managing body and hence has the power to manage the financial and operating policy of the company.</w:t>
      </w:r>
    </w:p>
    <w:p w:rsidR="00FB5145" w:rsidRPr="00C66B91" w:rsidRDefault="00FB5145" w:rsidP="00FB5145">
      <w:pPr>
        <w:jc w:val="both"/>
        <w:rPr>
          <w:szCs w:val="22"/>
          <w:lang w:val="en-GB"/>
        </w:rPr>
      </w:pPr>
    </w:p>
    <w:p w:rsidR="00FB5145" w:rsidRPr="00C66B91" w:rsidRDefault="00FB5145" w:rsidP="00FB5145">
      <w:pPr>
        <w:jc w:val="both"/>
        <w:rPr>
          <w:sz w:val="22"/>
          <w:szCs w:val="22"/>
          <w:lang w:val="en-GB"/>
        </w:rPr>
      </w:pPr>
      <w:r w:rsidRPr="00C66B91">
        <w:rPr>
          <w:sz w:val="22"/>
          <w:szCs w:val="22"/>
          <w:lang w:val="en-GB"/>
        </w:rPr>
        <w:t xml:space="preserve">The subsidiary companies are consolidated as of the date, on which the effective control is transferred to the Group, and are deconsolidated as of the date, on which such control is discontinued. The financial statements of the companies in the Group are fully consolidated, being united line by line. </w:t>
      </w:r>
    </w:p>
    <w:p w:rsidR="00FB5145" w:rsidRPr="00C66B91" w:rsidRDefault="00FB5145" w:rsidP="00FB5145">
      <w:pPr>
        <w:jc w:val="both"/>
        <w:rPr>
          <w:sz w:val="22"/>
          <w:szCs w:val="22"/>
          <w:lang w:val="en-GB"/>
        </w:rPr>
      </w:pPr>
      <w:r w:rsidRPr="00C66B91">
        <w:rPr>
          <w:sz w:val="22"/>
          <w:szCs w:val="22"/>
          <w:lang w:val="en-GB"/>
        </w:rPr>
        <w:t>The consolidated financial statement includes the financial statements of SPEEDY AD and of the following subsidiary companies:</w:t>
      </w:r>
    </w:p>
    <w:p w:rsidR="00FB5145" w:rsidRPr="00C66B91" w:rsidRDefault="00FB5145" w:rsidP="00FB5145">
      <w:pPr>
        <w:jc w:val="both"/>
        <w:rPr>
          <w:sz w:val="22"/>
          <w:szCs w:val="22"/>
          <w:lang w:val="en-GB"/>
        </w:rPr>
      </w:pPr>
    </w:p>
    <w:tbl>
      <w:tblPr>
        <w:tblW w:w="4867" w:type="pct"/>
        <w:tblInd w:w="108" w:type="dxa"/>
        <w:tblLook w:val="01E0" w:firstRow="1" w:lastRow="1" w:firstColumn="1" w:lastColumn="1" w:noHBand="0" w:noVBand="0"/>
      </w:tblPr>
      <w:tblGrid>
        <w:gridCol w:w="5840"/>
        <w:gridCol w:w="1485"/>
        <w:gridCol w:w="1522"/>
      </w:tblGrid>
      <w:tr w:rsidR="00FB5145" w:rsidRPr="00C66B91" w:rsidTr="000554E8">
        <w:tc>
          <w:tcPr>
            <w:tcW w:w="3301" w:type="pct"/>
          </w:tcPr>
          <w:p w:rsidR="00FB5145" w:rsidRPr="00C66B91" w:rsidRDefault="00FB5145" w:rsidP="000554E8">
            <w:pPr>
              <w:rPr>
                <w:szCs w:val="22"/>
                <w:lang w:val="en-GB"/>
              </w:rPr>
            </w:pPr>
          </w:p>
        </w:tc>
        <w:tc>
          <w:tcPr>
            <w:tcW w:w="1699" w:type="pct"/>
            <w:gridSpan w:val="2"/>
            <w:tcBorders>
              <w:bottom w:val="single" w:sz="4" w:space="0" w:color="auto"/>
            </w:tcBorders>
            <w:vAlign w:val="center"/>
          </w:tcPr>
          <w:p w:rsidR="00FB5145" w:rsidRPr="00C66B91" w:rsidRDefault="00FB5145" w:rsidP="000554E8">
            <w:pPr>
              <w:ind w:right="198"/>
              <w:jc w:val="center"/>
              <w:rPr>
                <w:b/>
                <w:szCs w:val="22"/>
                <w:lang w:val="en-GB"/>
              </w:rPr>
            </w:pPr>
            <w:r w:rsidRPr="00C66B91">
              <w:rPr>
                <w:b/>
                <w:szCs w:val="22"/>
                <w:lang w:val="en-GB"/>
              </w:rPr>
              <w:t>Ownership</w:t>
            </w:r>
          </w:p>
        </w:tc>
      </w:tr>
      <w:tr w:rsidR="00FB5145" w:rsidRPr="00C66B91" w:rsidTr="000554E8">
        <w:tc>
          <w:tcPr>
            <w:tcW w:w="3301" w:type="pct"/>
          </w:tcPr>
          <w:p w:rsidR="00FB5145" w:rsidRPr="00C66B91" w:rsidRDefault="00FB5145" w:rsidP="000554E8">
            <w:pPr>
              <w:rPr>
                <w:b/>
                <w:szCs w:val="22"/>
                <w:lang w:val="en-GB"/>
              </w:rPr>
            </w:pPr>
            <w:r w:rsidRPr="00C66B91">
              <w:rPr>
                <w:b/>
                <w:szCs w:val="22"/>
                <w:lang w:val="en-GB"/>
              </w:rPr>
              <w:t>Subsidiary company</w:t>
            </w:r>
          </w:p>
        </w:tc>
        <w:tc>
          <w:tcPr>
            <w:tcW w:w="839" w:type="pct"/>
            <w:tcBorders>
              <w:top w:val="single" w:sz="4" w:space="0" w:color="auto"/>
            </w:tcBorders>
            <w:vAlign w:val="center"/>
          </w:tcPr>
          <w:p w:rsidR="00FB5145" w:rsidRPr="00C66B91" w:rsidRDefault="00FB5145" w:rsidP="000554E8">
            <w:pPr>
              <w:ind w:right="198"/>
              <w:jc w:val="center"/>
              <w:rPr>
                <w:b/>
                <w:szCs w:val="22"/>
                <w:lang w:val="en-GB"/>
              </w:rPr>
            </w:pPr>
            <w:r w:rsidRPr="00C66B91">
              <w:rPr>
                <w:b/>
                <w:szCs w:val="22"/>
                <w:lang w:val="en-GB"/>
              </w:rPr>
              <w:t>2015</w:t>
            </w:r>
          </w:p>
        </w:tc>
        <w:tc>
          <w:tcPr>
            <w:tcW w:w="860" w:type="pct"/>
            <w:tcBorders>
              <w:top w:val="single" w:sz="4" w:space="0" w:color="auto"/>
            </w:tcBorders>
            <w:vAlign w:val="center"/>
          </w:tcPr>
          <w:p w:rsidR="00FB5145" w:rsidRPr="00C66B91" w:rsidRDefault="00FB5145" w:rsidP="000554E8">
            <w:pPr>
              <w:ind w:right="198"/>
              <w:jc w:val="center"/>
              <w:rPr>
                <w:b/>
                <w:szCs w:val="22"/>
                <w:lang w:val="en-GB"/>
              </w:rPr>
            </w:pPr>
            <w:r w:rsidRPr="00C66B91">
              <w:rPr>
                <w:b/>
                <w:szCs w:val="22"/>
                <w:lang w:val="en-GB"/>
              </w:rPr>
              <w:t>2014</w:t>
            </w:r>
          </w:p>
        </w:tc>
      </w:tr>
      <w:tr w:rsidR="00FB5145" w:rsidRPr="00C66B91" w:rsidTr="000554E8">
        <w:tc>
          <w:tcPr>
            <w:tcW w:w="3301" w:type="pct"/>
          </w:tcPr>
          <w:p w:rsidR="00FB5145" w:rsidRPr="00C66B91" w:rsidRDefault="00FB5145" w:rsidP="000554E8">
            <w:pPr>
              <w:rPr>
                <w:szCs w:val="22"/>
                <w:lang w:val="en-GB"/>
              </w:rPr>
            </w:pPr>
          </w:p>
        </w:tc>
        <w:tc>
          <w:tcPr>
            <w:tcW w:w="839" w:type="pct"/>
            <w:tcMar>
              <w:right w:w="284" w:type="dxa"/>
            </w:tcMar>
            <w:vAlign w:val="center"/>
          </w:tcPr>
          <w:p w:rsidR="00FB5145" w:rsidRPr="00C66B91" w:rsidRDefault="00FB5145" w:rsidP="000554E8">
            <w:pPr>
              <w:ind w:right="198"/>
              <w:jc w:val="right"/>
              <w:rPr>
                <w:szCs w:val="22"/>
                <w:lang w:val="en-GB"/>
              </w:rPr>
            </w:pPr>
          </w:p>
        </w:tc>
        <w:tc>
          <w:tcPr>
            <w:tcW w:w="860" w:type="pct"/>
            <w:tcMar>
              <w:right w:w="284" w:type="dxa"/>
            </w:tcMar>
            <w:vAlign w:val="center"/>
          </w:tcPr>
          <w:p w:rsidR="00FB5145" w:rsidRPr="00C66B91" w:rsidRDefault="00FB5145" w:rsidP="000554E8">
            <w:pPr>
              <w:ind w:right="198"/>
              <w:jc w:val="right"/>
              <w:rPr>
                <w:szCs w:val="22"/>
                <w:lang w:val="en-GB"/>
              </w:rPr>
            </w:pPr>
          </w:p>
        </w:tc>
      </w:tr>
      <w:tr w:rsidR="00FB5145" w:rsidRPr="00C66B91" w:rsidTr="000554E8">
        <w:tc>
          <w:tcPr>
            <w:tcW w:w="3301" w:type="pct"/>
          </w:tcPr>
          <w:p w:rsidR="00FB5145" w:rsidRPr="00C66B91" w:rsidRDefault="00FB5145" w:rsidP="000554E8">
            <w:pPr>
              <w:rPr>
                <w:sz w:val="22"/>
                <w:szCs w:val="22"/>
                <w:lang w:val="en-GB"/>
              </w:rPr>
            </w:pPr>
            <w:r w:rsidRPr="00C66B91">
              <w:rPr>
                <w:sz w:val="22"/>
                <w:szCs w:val="22"/>
                <w:lang w:val="en-GB"/>
              </w:rPr>
              <w:t>SPEEDY EOOD</w:t>
            </w:r>
          </w:p>
        </w:tc>
        <w:tc>
          <w:tcPr>
            <w:tcW w:w="839" w:type="pct"/>
            <w:tcMar>
              <w:right w:w="284" w:type="dxa"/>
            </w:tcMar>
          </w:tcPr>
          <w:p w:rsidR="00FB5145" w:rsidRPr="00C66B91" w:rsidRDefault="00FB5145" w:rsidP="000554E8">
            <w:pPr>
              <w:ind w:right="51"/>
              <w:jc w:val="right"/>
              <w:rPr>
                <w:szCs w:val="22"/>
                <w:lang w:val="en-GB"/>
              </w:rPr>
            </w:pPr>
            <w:r w:rsidRPr="00C66B91">
              <w:rPr>
                <w:szCs w:val="22"/>
                <w:lang w:val="en-GB"/>
              </w:rPr>
              <w:t>100%</w:t>
            </w:r>
          </w:p>
        </w:tc>
        <w:tc>
          <w:tcPr>
            <w:tcW w:w="860" w:type="pct"/>
            <w:tcMar>
              <w:right w:w="284" w:type="dxa"/>
            </w:tcMar>
          </w:tcPr>
          <w:p w:rsidR="00FB5145" w:rsidRPr="00C66B91" w:rsidRDefault="00FB5145" w:rsidP="000554E8">
            <w:pPr>
              <w:ind w:right="51"/>
              <w:jc w:val="right"/>
              <w:rPr>
                <w:szCs w:val="22"/>
                <w:lang w:val="en-GB"/>
              </w:rPr>
            </w:pPr>
            <w:r w:rsidRPr="00C66B91">
              <w:rPr>
                <w:szCs w:val="22"/>
                <w:lang w:val="en-GB"/>
              </w:rPr>
              <w:t>100%</w:t>
            </w:r>
          </w:p>
        </w:tc>
      </w:tr>
      <w:tr w:rsidR="00FB5145" w:rsidRPr="00C66B91" w:rsidTr="000554E8">
        <w:tc>
          <w:tcPr>
            <w:tcW w:w="3301" w:type="pct"/>
          </w:tcPr>
          <w:p w:rsidR="00FB5145" w:rsidRPr="00C66B91" w:rsidRDefault="00FB5145" w:rsidP="000554E8">
            <w:pPr>
              <w:rPr>
                <w:sz w:val="22"/>
                <w:szCs w:val="22"/>
                <w:lang w:val="en-GB"/>
              </w:rPr>
            </w:pPr>
            <w:r w:rsidRPr="00C66B91">
              <w:rPr>
                <w:sz w:val="22"/>
                <w:szCs w:val="22"/>
                <w:lang w:val="en-GB"/>
              </w:rPr>
              <w:t>Geopost Bulgaria EOOD</w:t>
            </w:r>
          </w:p>
        </w:tc>
        <w:tc>
          <w:tcPr>
            <w:tcW w:w="839" w:type="pct"/>
            <w:tcMar>
              <w:right w:w="284" w:type="dxa"/>
            </w:tcMar>
          </w:tcPr>
          <w:p w:rsidR="00FB5145" w:rsidRPr="00C66B91" w:rsidRDefault="00FB5145" w:rsidP="000554E8">
            <w:pPr>
              <w:ind w:right="51"/>
              <w:jc w:val="right"/>
              <w:rPr>
                <w:szCs w:val="22"/>
                <w:lang w:val="en-GB"/>
              </w:rPr>
            </w:pPr>
            <w:r w:rsidRPr="00C66B91">
              <w:rPr>
                <w:szCs w:val="22"/>
                <w:lang w:val="en-GB"/>
              </w:rPr>
              <w:t>100%</w:t>
            </w:r>
          </w:p>
        </w:tc>
        <w:tc>
          <w:tcPr>
            <w:tcW w:w="860" w:type="pct"/>
            <w:tcMar>
              <w:right w:w="284" w:type="dxa"/>
            </w:tcMar>
          </w:tcPr>
          <w:p w:rsidR="00FB5145" w:rsidRPr="00C66B91" w:rsidRDefault="00FB5145" w:rsidP="000554E8">
            <w:pPr>
              <w:ind w:right="51"/>
              <w:jc w:val="right"/>
              <w:rPr>
                <w:szCs w:val="22"/>
                <w:lang w:val="en-GB"/>
              </w:rPr>
            </w:pPr>
            <w:r w:rsidRPr="00C66B91">
              <w:rPr>
                <w:szCs w:val="22"/>
                <w:lang w:val="en-GB"/>
              </w:rPr>
              <w:t>100%</w:t>
            </w:r>
          </w:p>
        </w:tc>
      </w:tr>
      <w:tr w:rsidR="00FB5145" w:rsidRPr="00C66B91" w:rsidTr="000554E8">
        <w:tc>
          <w:tcPr>
            <w:tcW w:w="3301" w:type="pct"/>
          </w:tcPr>
          <w:p w:rsidR="00FB5145" w:rsidRPr="00C66B91" w:rsidRDefault="00FB5145" w:rsidP="000554E8">
            <w:pPr>
              <w:rPr>
                <w:sz w:val="22"/>
                <w:szCs w:val="22"/>
                <w:lang w:val="en-GB"/>
              </w:rPr>
            </w:pPr>
            <w:r w:rsidRPr="00C66B91">
              <w:rPr>
                <w:sz w:val="22"/>
                <w:szCs w:val="22"/>
                <w:lang w:val="en-GB"/>
              </w:rPr>
              <w:t>Dynamic Parcel Distribution S.A., Romania</w:t>
            </w:r>
          </w:p>
        </w:tc>
        <w:tc>
          <w:tcPr>
            <w:tcW w:w="839" w:type="pct"/>
            <w:tcMar>
              <w:right w:w="284" w:type="dxa"/>
            </w:tcMar>
          </w:tcPr>
          <w:p w:rsidR="00FB5145" w:rsidRPr="00C66B91" w:rsidRDefault="00FB5145" w:rsidP="000554E8">
            <w:pPr>
              <w:ind w:right="51"/>
              <w:jc w:val="right"/>
              <w:rPr>
                <w:szCs w:val="22"/>
                <w:lang w:val="en-GB"/>
              </w:rPr>
            </w:pPr>
            <w:r w:rsidRPr="00C66B91">
              <w:rPr>
                <w:szCs w:val="22"/>
                <w:lang w:val="en-GB"/>
              </w:rPr>
              <w:t>100%</w:t>
            </w:r>
          </w:p>
        </w:tc>
        <w:tc>
          <w:tcPr>
            <w:tcW w:w="860" w:type="pct"/>
            <w:tcMar>
              <w:right w:w="284" w:type="dxa"/>
            </w:tcMar>
          </w:tcPr>
          <w:p w:rsidR="00FB5145" w:rsidRPr="00C66B91" w:rsidRDefault="00FB5145" w:rsidP="000554E8">
            <w:pPr>
              <w:ind w:right="51"/>
              <w:jc w:val="right"/>
              <w:rPr>
                <w:szCs w:val="22"/>
                <w:lang w:val="en-GB"/>
              </w:rPr>
            </w:pPr>
            <w:r w:rsidRPr="00C66B91">
              <w:rPr>
                <w:szCs w:val="22"/>
                <w:lang w:val="en-GB"/>
              </w:rPr>
              <w:t>100%</w:t>
            </w:r>
          </w:p>
        </w:tc>
      </w:tr>
    </w:tbl>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 xml:space="preserve">The subsidiary companies Geopost Bulgaria EOOD and Dynamic Parcel Distribution S.A. were acquired by the Parent Company SPEEDY AD in November 2014. </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 xml:space="preserve">For the purposes of preparation of the consolidated financial statement, the financial statements of the Parent Company and of the subsidiary companies were united on a “line by line” basis through summing up of similar items of the assets, liabilities, equity, revenues and costs. The intragroup operations and estimates are completely eliminated, including the unrealized intragroup profit or loss. </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The financial statements of the subsidiary companies are consolidated in the annual consolidated financial statement using the “full consolidation” method. The method applies as of the moment, from which the control is deemed to be transferred to the Parent Company.</w:t>
      </w:r>
    </w:p>
    <w:p w:rsidR="00FB5145" w:rsidRPr="00C66B91" w:rsidRDefault="00FB5145" w:rsidP="00FB5145">
      <w:pPr>
        <w:jc w:val="both"/>
        <w:rPr>
          <w:sz w:val="22"/>
          <w:szCs w:val="22"/>
          <w:lang w:val="en-GB"/>
        </w:rPr>
      </w:pPr>
    </w:p>
    <w:p w:rsidR="00FB5145" w:rsidRPr="00C66B91" w:rsidRDefault="00FB5145" w:rsidP="00FB5145">
      <w:pPr>
        <w:ind w:right="-18"/>
        <w:rPr>
          <w:b/>
          <w:sz w:val="22"/>
          <w:szCs w:val="22"/>
          <w:lang w:val="en-GB"/>
        </w:rPr>
      </w:pPr>
      <w:r w:rsidRPr="00C66B91">
        <w:rPr>
          <w:b/>
          <w:sz w:val="22"/>
          <w:szCs w:val="22"/>
          <w:lang w:val="en-GB"/>
        </w:rPr>
        <w:t>Application of new and amended IFRS</w:t>
      </w:r>
    </w:p>
    <w:p w:rsidR="00FB5145" w:rsidRPr="00C66B91" w:rsidRDefault="00FB5145" w:rsidP="00FB5145">
      <w:pPr>
        <w:jc w:val="both"/>
        <w:rPr>
          <w:sz w:val="22"/>
          <w:szCs w:val="22"/>
          <w:lang w:val="en-GB"/>
        </w:rPr>
      </w:pPr>
    </w:p>
    <w:p w:rsidR="00FB5145" w:rsidRPr="00C66B91" w:rsidRDefault="00FB5145" w:rsidP="00FB5145">
      <w:pPr>
        <w:spacing w:after="200" w:line="252" w:lineRule="auto"/>
        <w:jc w:val="both"/>
        <w:rPr>
          <w:sz w:val="22"/>
          <w:szCs w:val="22"/>
          <w:lang w:val="en-GB" w:bidi="en-US"/>
        </w:rPr>
      </w:pPr>
      <w:r w:rsidRPr="00C66B91">
        <w:rPr>
          <w:b/>
          <w:sz w:val="22"/>
          <w:szCs w:val="22"/>
          <w:lang w:val="en-GB" w:bidi="en-US"/>
        </w:rPr>
        <w:t>New standards, interpretations and amendments, into force as of 1 January 2014</w:t>
      </w:r>
    </w:p>
    <w:p w:rsidR="00FB5145" w:rsidRPr="00C66B91" w:rsidRDefault="00FB5145" w:rsidP="00FB5145">
      <w:pPr>
        <w:jc w:val="both"/>
        <w:rPr>
          <w:sz w:val="22"/>
          <w:szCs w:val="22"/>
          <w:lang w:val="en-GB" w:bidi="en-US"/>
        </w:rPr>
      </w:pPr>
      <w:r w:rsidRPr="00C66B91">
        <w:rPr>
          <w:sz w:val="22"/>
          <w:szCs w:val="22"/>
          <w:lang w:val="en-GB" w:bidi="en-US"/>
        </w:rPr>
        <w:t>The following amendments to existing standards issued by IASB and adopted by EU, are in effect for the current reporting period:</w:t>
      </w:r>
    </w:p>
    <w:p w:rsidR="00FB5145" w:rsidRPr="00C66B91" w:rsidRDefault="00FB5145" w:rsidP="00FB5145">
      <w:pPr>
        <w:jc w:val="both"/>
        <w:rPr>
          <w:rFonts w:ascii="Cambria" w:hAnsi="Cambria"/>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IFRS 10 “Consolidated Financial Statements”, into force for annual periods, starting on or after 1 January 2014, adopted by EU on 11 December 2012, published in OJ on 29 December 2012</w:t>
      </w:r>
    </w:p>
    <w:p w:rsidR="00FB5145" w:rsidRPr="00C66B91" w:rsidRDefault="00FB5145" w:rsidP="00FB5145">
      <w:pPr>
        <w:adjustRightInd w:val="0"/>
        <w:ind w:left="360"/>
        <w:contextualSpacing/>
        <w:jc w:val="both"/>
        <w:rPr>
          <w:bCs/>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IFRS 10 “Consolidated Financial Statements” introduces a new definition of control, based on specific principles, which shall be applied for all investments, when determining the basis for consolidation.</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IFRS 11 “Joint Arrangements”, into force for annual periods, starting on or after 1 January 2014, adopted by EU on 11 December 2012, published in OJ on 29 December 2012</w:t>
      </w:r>
    </w:p>
    <w:p w:rsidR="00FB5145" w:rsidRPr="00C66B91" w:rsidRDefault="00FB5145" w:rsidP="00FB5145">
      <w:pPr>
        <w:adjustRightInd w:val="0"/>
        <w:ind w:left="360"/>
        <w:contextualSpacing/>
        <w:jc w:val="both"/>
        <w:rPr>
          <w:rFonts w:ascii="Cambria" w:hAnsi="Cambria"/>
          <w:bCs/>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IFRS 11 “Joint Arrangements” substitutes IAS 31 “Interests in Joint Ventures” and replaces the three categories of “jointly controlled entities“, “jointly controlled operations“ and “jointly controlled assets“ by two categories – “joint operations” and “joint ventures“. However, it is no longer admissible to choose whether to apply the method of proportionate consolidation in joint venture reporting. The application of the equity method is compulsory in the accounting for all joint ventures.</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IFRS 12 “Disclosure of Interests in Other Entities”, into force for annual periods, starting on or after 1 January 2014, adopted by EU on 11 December 2012, published in OJ on 29 December 2012</w:t>
      </w:r>
    </w:p>
    <w:p w:rsidR="00FB5145" w:rsidRPr="00C66B91" w:rsidRDefault="00FB5145" w:rsidP="00FB5145">
      <w:pPr>
        <w:adjustRightInd w:val="0"/>
        <w:ind w:left="360"/>
        <w:contextualSpacing/>
        <w:jc w:val="both"/>
        <w:rPr>
          <w:bCs/>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IFRS 12 “Disclosure of Interests in Other Entities” is a new standard concerning the requirements for disclosure of all forms of interests in other entities, including joint arrangements, associates and special purpose entities and other unconsolidated entities.</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IAS 27 “Separate Financial Statements” (revised in 2011), into force for annual periods, starting on or after 1 January 2014, adopted by EU on 11 December 2012, published in OJ on 29 December 2012</w:t>
      </w:r>
    </w:p>
    <w:p w:rsidR="00FB5145" w:rsidRPr="00C66B91" w:rsidRDefault="00FB5145" w:rsidP="00FB5145">
      <w:pPr>
        <w:adjustRightInd w:val="0"/>
        <w:ind w:left="360"/>
        <w:contextualSpacing/>
        <w:jc w:val="both"/>
        <w:rPr>
          <w:bCs/>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lastRenderedPageBreak/>
        <w:t>IAS 27 “Separate Financial Statements” (revised) now concerns only separate financial statements, whose requirements are not substantially amended.</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IAS 28 “Investments in Associates and Joint Ventures” (revised 2011), into force for annual periods, starting on or after 1 January 2014, adopted by EU on 11 December 2012, published in OJ on 29 December 2012</w:t>
      </w:r>
    </w:p>
    <w:p w:rsidR="00FB5145" w:rsidRPr="00C66B91" w:rsidRDefault="00FB5145" w:rsidP="00FB5145">
      <w:pPr>
        <w:adjustRightInd w:val="0"/>
        <w:ind w:left="360"/>
        <w:contextualSpacing/>
        <w:jc w:val="both"/>
        <w:rPr>
          <w:rFonts w:ascii="Cambria" w:hAnsi="Cambria"/>
          <w:bCs/>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IAS 28 “Investments in Associates and Joint Ventures” (revised) continues to provide for the application of the equity method. Certain changes in the scope of the standard were introduced upon the publication of IFRS 11 “Joint Arrangements”.</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Amendments to IAS 32 “Financial Instruments: Presentation” – offsetting of financial assets and financial liabilities, into force for annual periods, starting on or after 1 January 2014, adopted by EU on 13 December 2012, published in OJ on 29 December 2012</w:t>
      </w:r>
    </w:p>
    <w:p w:rsidR="00FB5145" w:rsidRPr="00C66B91" w:rsidRDefault="00FB5145" w:rsidP="00FB5145">
      <w:pPr>
        <w:adjustRightInd w:val="0"/>
        <w:jc w:val="both"/>
        <w:rPr>
          <w:rFonts w:ascii="Cambria" w:hAnsi="Cambria"/>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The amendment specifies that the right to offset financial assets and liabilities shall be in effect as at the moment, not occur depending on a future event. It shall also be exercisable by all parties in the usual course of business, as well as in cases of non-performance, insolvency or bankruptcy.</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 xml:space="preserve">Amendments to IAS 36 “Impairment of Assets – Recoverable Amount Disclosures for Non-Financial Assets”, into force for annual periods, starting on or after 1 January 2014, adopted by EU on 19 December 2013, published in OJ on 20 December 2013 </w:t>
      </w:r>
    </w:p>
    <w:p w:rsidR="00FB5145" w:rsidRPr="00C66B91" w:rsidRDefault="00FB5145" w:rsidP="00FB5145">
      <w:pPr>
        <w:adjustRightInd w:val="0"/>
        <w:ind w:left="360"/>
        <w:contextualSpacing/>
        <w:jc w:val="both"/>
        <w:rPr>
          <w:bCs/>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The purpose of this amendment is to limit the circumstances, where the recoverable amount of cash-generating assets or groups of assets needs to be disclosed, to clarify the required disclosures and to present the express requirement to disclose the discount rate, used for determining the impairment (or its reversal), where the recoverable amount (based on the fair value less the costs of disposal) is determined using the present value technique.</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Amendments to IAS 39 “Financial Instruments: Recognition and Measurement – Novation of Derivatives and Continuation of Hedge Accounting”, into force for annual periods, starting on or after 1 January 2014, adopted by EU on 19 December 2013, published in OJ on 20 December 2013</w:t>
      </w:r>
    </w:p>
    <w:p w:rsidR="00FB5145" w:rsidRPr="00C66B91" w:rsidRDefault="00FB5145" w:rsidP="00FB5145">
      <w:pPr>
        <w:adjustRightInd w:val="0"/>
        <w:ind w:left="360"/>
        <w:contextualSpacing/>
        <w:jc w:val="both"/>
        <w:rPr>
          <w:bCs/>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Based on the amendments, there is no need to discontinue hedge accounting, if a hedging derivative is novated, provided that certain criteria are complied with. The novation indicates an event, where the original parties to the derivative agree that one or more clearing contracting parties substitute the original contracting party, so that they become the new contracting parties of each of the parties. In order to reap the benefits of the amended guidance, the novation of a central contracting party shall result from laws and rules or from the introduction of laws and rules.</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Amendments to IFRS 10 “Consolidated Financial Statements”, IFRS 11 “Joint Arrangements” and IFRS 12 “Disclosure of Interests in Other Entities – Transition Guidance” (issued on 28 June 2012) into force for annual periods, starting on or after 1 January 2014, adopted by EU on 4 April 2013, published in OJ on 5 April 2013</w:t>
      </w:r>
    </w:p>
    <w:p w:rsidR="00FB5145" w:rsidRPr="00C66B91" w:rsidRDefault="00FB5145" w:rsidP="00FB5145">
      <w:pPr>
        <w:adjustRightInd w:val="0"/>
        <w:ind w:left="360"/>
        <w:contextualSpacing/>
        <w:jc w:val="both"/>
        <w:rPr>
          <w:bCs/>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The amendment aims at further facilitating the transition to IFRS 10, IFRS 11 “Joint Arrangements” and IFRS 12 “Disclosure of Interests in Other Entities”, through “limiting the requirement to submit corrected comparative information only for the previous comparative period”. Amendments were also made to IFRS 11 and IFRS 12, eliminating the requirement to submit comparative information for periods that precede the previous period.</w:t>
      </w:r>
    </w:p>
    <w:p w:rsidR="00FB5145" w:rsidRPr="00C66B91" w:rsidRDefault="00FB5145" w:rsidP="00FB5145">
      <w:pPr>
        <w:adjustRightInd w:val="0"/>
        <w:jc w:val="both"/>
        <w:rPr>
          <w:sz w:val="22"/>
          <w:szCs w:val="22"/>
          <w:lang w:val="en-GB" w:bidi="en-US"/>
        </w:rPr>
      </w:pPr>
      <w:r w:rsidRPr="00C66B91">
        <w:rPr>
          <w:sz w:val="22"/>
          <w:szCs w:val="22"/>
          <w:lang w:val="en-GB" w:bidi="en-US"/>
        </w:rPr>
        <w:t xml:space="preserve"> </w:t>
      </w: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 xml:space="preserve">Amendments to IFRS 10 “Consolidated Financial Statements”, IFRS 12 “Disclosure of Interests in Other Entities – Transition Guidance” and  IAS 27 “Separate Financial Statements” – relating to </w:t>
      </w:r>
      <w:r w:rsidRPr="00C66B91">
        <w:rPr>
          <w:bCs/>
          <w:sz w:val="22"/>
          <w:szCs w:val="22"/>
          <w:lang w:val="en-GB" w:bidi="en-US"/>
        </w:rPr>
        <w:lastRenderedPageBreak/>
        <w:t>Investment Entities (issued on 31 October 2012), into force for annual periods, starting on or after 1 January 2014, adopted by EU on 20 November 2013, published in OJ on 21 November 2013</w:t>
      </w:r>
    </w:p>
    <w:p w:rsidR="00FB5145" w:rsidRPr="00C66B91" w:rsidRDefault="00FB5145" w:rsidP="00FB5145">
      <w:pPr>
        <w:adjustRightInd w:val="0"/>
        <w:ind w:left="360"/>
        <w:contextualSpacing/>
        <w:jc w:val="both"/>
        <w:rPr>
          <w:bCs/>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The amendments set out the requirements to consider a given company as an “investment entity”. If a given company complies with the definition of investment entity, it is not allowed to consolidate its subsidiary companies and it shall measure its investments in such subsidiary companies at fair value through the profit and loss. In spite of that, the investment entity is still required to consolidate the subsidiary company, when the subsidiary company is performing services, which relate to the investment activities carried out by the investment entity.</w:t>
      </w:r>
    </w:p>
    <w:p w:rsidR="00FB5145" w:rsidRPr="00C66B91" w:rsidRDefault="00FB5145" w:rsidP="00FB5145">
      <w:pPr>
        <w:adjustRightInd w:val="0"/>
        <w:jc w:val="both"/>
        <w:rPr>
          <w:sz w:val="22"/>
          <w:szCs w:val="22"/>
          <w:lang w:val="en-GB" w:bidi="en-US"/>
        </w:rPr>
      </w:pPr>
    </w:p>
    <w:p w:rsidR="00FB5145" w:rsidRPr="00C66B91" w:rsidRDefault="00FB5145" w:rsidP="00FB5145">
      <w:pPr>
        <w:jc w:val="both"/>
        <w:rPr>
          <w:sz w:val="22"/>
          <w:szCs w:val="22"/>
          <w:lang w:val="en-GB" w:bidi="en-US"/>
        </w:rPr>
      </w:pPr>
      <w:r w:rsidRPr="00C66B91">
        <w:rPr>
          <w:sz w:val="22"/>
          <w:szCs w:val="22"/>
          <w:lang w:val="en-GB" w:bidi="en-US"/>
        </w:rPr>
        <w:t xml:space="preserve">The adoption of these amendments to existing standards did not result in any changes in the accounting policy of the Group. </w:t>
      </w:r>
    </w:p>
    <w:p w:rsidR="00FB5145" w:rsidRPr="00C66B91" w:rsidRDefault="00FB5145" w:rsidP="00FB5145">
      <w:pPr>
        <w:jc w:val="both"/>
        <w:rPr>
          <w:b/>
          <w:sz w:val="22"/>
          <w:szCs w:val="22"/>
          <w:lang w:val="en-GB" w:bidi="en-US"/>
        </w:rPr>
      </w:pPr>
    </w:p>
    <w:p w:rsidR="00FB5145" w:rsidRPr="00C66B91" w:rsidRDefault="00FB5145" w:rsidP="00FB5145">
      <w:pPr>
        <w:jc w:val="both"/>
        <w:rPr>
          <w:i/>
          <w:sz w:val="22"/>
          <w:szCs w:val="22"/>
          <w:lang w:val="en-GB" w:bidi="en-US"/>
        </w:rPr>
      </w:pPr>
      <w:r w:rsidRPr="00C66B91">
        <w:rPr>
          <w:b/>
          <w:sz w:val="22"/>
          <w:szCs w:val="22"/>
          <w:lang w:val="en-GB" w:bidi="en-US"/>
        </w:rPr>
        <w:t xml:space="preserve">Standards, interpretations and amendments to standards issued by IASB and adopted by EU, but still not into force </w:t>
      </w:r>
      <w:r w:rsidRPr="00C66B91">
        <w:rPr>
          <w:i/>
          <w:sz w:val="22"/>
          <w:szCs w:val="22"/>
          <w:lang w:val="en-GB" w:bidi="en-US"/>
        </w:rPr>
        <w:t xml:space="preserve"> </w:t>
      </w:r>
    </w:p>
    <w:p w:rsidR="00FB5145" w:rsidRPr="00C66B91" w:rsidRDefault="00FB5145" w:rsidP="00FB5145">
      <w:pPr>
        <w:jc w:val="both"/>
        <w:rPr>
          <w:i/>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 xml:space="preserve">Amendments to IAS 19 “Employee Benefits – Defined Benefit Plans: Employee Contributions” (issued on 21 November 2013), into force as of 1 July 2014, adopted by EU on 17 December 2014, published in OJ on 9 January 2015 </w:t>
      </w:r>
    </w:p>
    <w:p w:rsidR="00FB5145" w:rsidRPr="00C66B91" w:rsidRDefault="00FB5145" w:rsidP="00FB5145">
      <w:pPr>
        <w:ind w:left="360"/>
        <w:contextualSpacing/>
        <w:jc w:val="both"/>
        <w:rPr>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The amendment clarifies paragraph 93 of IAS 19 “Employee Benefits”, which refers to the accounting for employee contributions, as set out in the official conditions of a defined benefit plan, through the provision of guidance to the company management as regards the accounting for employee benefits that are linked to a service.</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Annual improvements 2010 – 2012 cycle (issued on 12 December 2013), into force as of 1 July 2014, adopted by EU on 17 December 2014, published in the OJ on 9 January 2015</w:t>
      </w:r>
    </w:p>
    <w:p w:rsidR="00FB5145" w:rsidRPr="00C66B91" w:rsidRDefault="00FB5145" w:rsidP="00FB5145">
      <w:pPr>
        <w:ind w:left="720"/>
        <w:contextualSpacing/>
        <w:jc w:val="both"/>
        <w:rPr>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The amendment to IFRS 2 “Share-based Payment” amends the definitions of 'vesting condition' and 'market condition' and adds definitions for 'performance condition' and 'service condition' (which were previously part of the definition of 'vesting condition').</w:t>
      </w:r>
    </w:p>
    <w:p w:rsidR="00FB5145" w:rsidRPr="00C66B91" w:rsidRDefault="00FB5145" w:rsidP="00FB5145">
      <w:pPr>
        <w:adjustRightInd w:val="0"/>
        <w:jc w:val="both"/>
        <w:rPr>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The amendments to IFRS 3 “Business Combinations” relate to: accounting for contingent consideration in a business combination – clarifies that contingent consideration that is classified as an asset or a liability shall be measured at fair value at each reporting date; aggregation of operating segments – requires an entity to disclose the judgments made by management in applying the aggregation criteria to operating segments.</w:t>
      </w:r>
    </w:p>
    <w:p w:rsidR="00FB5145" w:rsidRPr="00C66B91" w:rsidRDefault="00FB5145" w:rsidP="00FB5145">
      <w:pPr>
        <w:adjustRightInd w:val="0"/>
        <w:jc w:val="both"/>
        <w:rPr>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The amendment to IFRS 8 “Operating Segments” clarifies that an entity shall only provide reconciliations of the total of the reportable segments' assets to the entity's assets if the segment assets are reported regularly.</w:t>
      </w:r>
    </w:p>
    <w:p w:rsidR="00FB5145" w:rsidRPr="00C66B91" w:rsidRDefault="00FB5145" w:rsidP="00FB5145">
      <w:pPr>
        <w:adjustRightInd w:val="0"/>
        <w:jc w:val="both"/>
        <w:rPr>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The amendment to IFRS 13 “Fair Value Measurement” clarifies that issuing IFRS 13 and amending IFRS 9 and IAS 39 did not remove the ability to measure short-term receivables and payables with no stated interest rate at their invoice amounts without discounting if the effect of not discounting is immaterial.</w:t>
      </w:r>
    </w:p>
    <w:p w:rsidR="00FB5145" w:rsidRPr="00C66B91" w:rsidRDefault="00FB5145" w:rsidP="00FB5145">
      <w:pPr>
        <w:adjustRightInd w:val="0"/>
        <w:jc w:val="both"/>
        <w:rPr>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The amendment to IAS 16 “Property, Plant and Equipment” clarifies that when an item of property, plant and equipment is revalued the gross carrying amount is adjusted in a manner that is consistent with the revaluation of the carrying amount.</w:t>
      </w:r>
    </w:p>
    <w:p w:rsidR="00FB5145" w:rsidRPr="00C66B91" w:rsidRDefault="00FB5145" w:rsidP="00FB5145">
      <w:pPr>
        <w:contextualSpacing/>
        <w:jc w:val="both"/>
        <w:rPr>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The amendment to IAS 24 “Related Party Transactions” clarifies that an entity providing key management personnel services to the reporting entity or to the parent of the reporting entity is a related party of the reporting entity.</w:t>
      </w:r>
    </w:p>
    <w:p w:rsidR="00FB5145" w:rsidRPr="00C66B91" w:rsidRDefault="00FB5145" w:rsidP="00FB5145">
      <w:pPr>
        <w:adjustRightInd w:val="0"/>
        <w:jc w:val="both"/>
        <w:rPr>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The amendment to IAS 38 “Intangible Assets” clarifies that when an intangible asset is revalued the gross carrying amount is adjusted in a manner that is consistent with the revaluation of the carrying amount.</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Annual improvements 2011 – 2013 cycle (issued on 12 December 2013), into force as of 1 July 2014, adopted by EU on 18 December 2014, published in OJ on 19 December 2014</w:t>
      </w:r>
    </w:p>
    <w:p w:rsidR="00FB5145" w:rsidRPr="00C66B91" w:rsidRDefault="00FB5145" w:rsidP="00FB5145">
      <w:pPr>
        <w:ind w:left="720"/>
        <w:contextualSpacing/>
        <w:jc w:val="both"/>
        <w:rPr>
          <w:sz w:val="22"/>
          <w:szCs w:val="22"/>
          <w:lang w:val="en-GB" w:bidi="en-US"/>
        </w:rPr>
      </w:pPr>
    </w:p>
    <w:p w:rsidR="00FB5145" w:rsidRPr="00C66B91" w:rsidRDefault="00FB5145" w:rsidP="00FB5145">
      <w:pPr>
        <w:jc w:val="both"/>
        <w:rPr>
          <w:sz w:val="22"/>
          <w:szCs w:val="22"/>
          <w:lang w:val="en-GB" w:bidi="en-US"/>
        </w:rPr>
      </w:pPr>
      <w:r w:rsidRPr="00C66B91">
        <w:rPr>
          <w:sz w:val="22"/>
          <w:szCs w:val="22"/>
          <w:lang w:val="en-GB" w:bidi="en-US"/>
        </w:rPr>
        <w:t xml:space="preserve">Amendment to IFRS </w:t>
      </w:r>
      <w:r w:rsidRPr="00C66B91">
        <w:rPr>
          <w:lang w:val="en-GB" w:bidi="en-US"/>
        </w:rPr>
        <w:t>1 “</w:t>
      </w:r>
      <w:r w:rsidRPr="00C66B91">
        <w:rPr>
          <w:lang w:val="en-GB" w:eastAsia="bg-BG"/>
        </w:rPr>
        <w:t xml:space="preserve">First-time Adoption of International Financial Reporting Standards” </w:t>
      </w:r>
      <w:r w:rsidRPr="00C66B91">
        <w:rPr>
          <w:sz w:val="22"/>
          <w:szCs w:val="22"/>
          <w:lang w:val="en-GB" w:bidi="en-US"/>
        </w:rPr>
        <w:t>clarifies that an entity, in its first IFRS financial statements, has the choice between applying an existing and currently effective IFRS or applying early a new or revised IFRS that is not yet mandatorily effective, provided that the new or revised IFRS permits early application. An entity is required to apply the same version of the IFRS throughout the periods covered by those first IFRS financial statements.</w:t>
      </w:r>
    </w:p>
    <w:p w:rsidR="00FB5145" w:rsidRPr="00C66B91" w:rsidRDefault="00FB5145" w:rsidP="00FB5145">
      <w:pPr>
        <w:adjustRightInd w:val="0"/>
        <w:jc w:val="both"/>
        <w:rPr>
          <w:sz w:val="22"/>
          <w:szCs w:val="22"/>
          <w:lang w:val="en-GB" w:bidi="en-US"/>
        </w:rPr>
      </w:pPr>
      <w:r w:rsidRPr="00C66B91">
        <w:rPr>
          <w:sz w:val="22"/>
          <w:szCs w:val="22"/>
          <w:lang w:val="en-GB" w:bidi="en-US"/>
        </w:rPr>
        <w:t xml:space="preserve"> </w:t>
      </w:r>
    </w:p>
    <w:p w:rsidR="00FB5145" w:rsidRPr="00C66B91" w:rsidRDefault="00FB5145" w:rsidP="00FB5145">
      <w:pPr>
        <w:adjustRightInd w:val="0"/>
        <w:jc w:val="both"/>
        <w:rPr>
          <w:sz w:val="22"/>
          <w:szCs w:val="22"/>
          <w:lang w:val="en-GB" w:bidi="en-US"/>
        </w:rPr>
      </w:pPr>
      <w:r w:rsidRPr="00C66B91">
        <w:rPr>
          <w:sz w:val="22"/>
          <w:szCs w:val="22"/>
          <w:lang w:val="en-GB" w:bidi="en-US"/>
        </w:rPr>
        <w:t xml:space="preserve">Amendment to IFRS 3 “Business Combinations” clarifies that IFRS 3 excludes from its scope the accounting for the formation of a joint arrangement in the financial statements of the joint arrangement itself. </w:t>
      </w:r>
    </w:p>
    <w:p w:rsidR="00FB5145" w:rsidRPr="00C66B91" w:rsidRDefault="00FB5145" w:rsidP="00FB5145">
      <w:pPr>
        <w:adjustRightInd w:val="0"/>
        <w:jc w:val="both"/>
        <w:rPr>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 xml:space="preserve">The amendment to IFRS 13 “Fair Value Measurement” clarifies that the scope of the portfolio exception defined in paragraph 52 of IFRS 13 includes all contracts accounted for within the scope of </w:t>
      </w:r>
      <w:hyperlink r:id="rId21" w:tgtFrame="_self" w:history="1">
        <w:r w:rsidRPr="00C66B91">
          <w:rPr>
            <w:rStyle w:val="Hyperlink"/>
            <w:color w:val="auto"/>
            <w:sz w:val="22"/>
            <w:szCs w:val="22"/>
            <w:u w:val="none"/>
            <w:lang w:val="en-GB" w:bidi="en-US"/>
          </w:rPr>
          <w:t>IAS 39</w:t>
        </w:r>
      </w:hyperlink>
      <w:r w:rsidRPr="00C66B91">
        <w:rPr>
          <w:sz w:val="22"/>
          <w:szCs w:val="22"/>
          <w:lang w:val="en-GB" w:bidi="en-US"/>
        </w:rPr>
        <w:t xml:space="preserve"> </w:t>
      </w:r>
      <w:r w:rsidRPr="00C66B91">
        <w:rPr>
          <w:iCs/>
          <w:sz w:val="22"/>
          <w:szCs w:val="22"/>
          <w:lang w:val="en-GB" w:bidi="en-US"/>
        </w:rPr>
        <w:t>Financial Instruments: Recognition and Measurement</w:t>
      </w:r>
      <w:r w:rsidRPr="00C66B91">
        <w:rPr>
          <w:sz w:val="22"/>
          <w:szCs w:val="22"/>
          <w:lang w:val="en-GB" w:bidi="en-US"/>
        </w:rPr>
        <w:t xml:space="preserve"> or </w:t>
      </w:r>
      <w:hyperlink r:id="rId22" w:tgtFrame="_self" w:history="1">
        <w:r w:rsidRPr="00C66B91">
          <w:rPr>
            <w:rStyle w:val="Hyperlink"/>
            <w:color w:val="auto"/>
            <w:sz w:val="22"/>
            <w:szCs w:val="22"/>
            <w:u w:val="none"/>
            <w:lang w:val="en-GB" w:bidi="en-US"/>
          </w:rPr>
          <w:t>IFRS 9</w:t>
        </w:r>
      </w:hyperlink>
      <w:r w:rsidRPr="00C66B91">
        <w:rPr>
          <w:sz w:val="22"/>
          <w:szCs w:val="22"/>
          <w:lang w:val="en-GB" w:bidi="en-US"/>
        </w:rPr>
        <w:t xml:space="preserve"> </w:t>
      </w:r>
      <w:r w:rsidRPr="00C66B91">
        <w:rPr>
          <w:iCs/>
          <w:sz w:val="22"/>
          <w:szCs w:val="22"/>
          <w:lang w:val="en-GB" w:bidi="en-US"/>
        </w:rPr>
        <w:t>Financial Instruments</w:t>
      </w:r>
      <w:r w:rsidRPr="00C66B91">
        <w:rPr>
          <w:sz w:val="22"/>
          <w:szCs w:val="22"/>
          <w:lang w:val="en-GB" w:bidi="en-US"/>
        </w:rPr>
        <w:t xml:space="preserve">, regardless of whether they meet the definition of financial assets or financial liabilities as defined in </w:t>
      </w:r>
      <w:hyperlink r:id="rId23" w:tgtFrame="_self" w:history="1">
        <w:r w:rsidRPr="00C66B91">
          <w:rPr>
            <w:rStyle w:val="Hyperlink"/>
            <w:color w:val="auto"/>
            <w:sz w:val="22"/>
            <w:szCs w:val="22"/>
            <w:u w:val="none"/>
            <w:lang w:val="en-GB" w:bidi="en-US"/>
          </w:rPr>
          <w:t>IAS 32</w:t>
        </w:r>
      </w:hyperlink>
      <w:r w:rsidRPr="00C66B91">
        <w:rPr>
          <w:sz w:val="22"/>
          <w:szCs w:val="22"/>
          <w:lang w:val="en-GB" w:bidi="en-US"/>
        </w:rPr>
        <w:t xml:space="preserve"> </w:t>
      </w:r>
      <w:r w:rsidRPr="00C66B91">
        <w:rPr>
          <w:iCs/>
          <w:sz w:val="22"/>
          <w:szCs w:val="22"/>
          <w:lang w:val="en-GB" w:bidi="en-US"/>
        </w:rPr>
        <w:t>Financial Instruments: Presentation</w:t>
      </w:r>
      <w:r w:rsidRPr="00C66B91">
        <w:rPr>
          <w:sz w:val="22"/>
          <w:szCs w:val="22"/>
          <w:lang w:val="en-GB" w:bidi="en-US"/>
        </w:rPr>
        <w:t>.</w:t>
      </w:r>
    </w:p>
    <w:p w:rsidR="00FB5145" w:rsidRPr="00C66B91" w:rsidRDefault="00FB5145" w:rsidP="00FB5145">
      <w:pPr>
        <w:adjustRightInd w:val="0"/>
        <w:jc w:val="both"/>
        <w:rPr>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 xml:space="preserve">The amendment to IAS 40 “Investment Property” clarifies that determining whether a specific transaction meets the definition of both a business combination as defined in </w:t>
      </w:r>
      <w:hyperlink r:id="rId24" w:tgtFrame="_self" w:history="1">
        <w:r w:rsidRPr="00C66B91">
          <w:rPr>
            <w:rStyle w:val="Hyperlink"/>
            <w:color w:val="auto"/>
            <w:sz w:val="22"/>
            <w:szCs w:val="22"/>
            <w:u w:val="none"/>
            <w:lang w:val="en-GB" w:bidi="en-US"/>
          </w:rPr>
          <w:t>IFRS 3</w:t>
        </w:r>
      </w:hyperlink>
      <w:r w:rsidRPr="00C66B91">
        <w:rPr>
          <w:sz w:val="22"/>
          <w:szCs w:val="22"/>
          <w:lang w:val="en-GB" w:bidi="en-US"/>
        </w:rPr>
        <w:t xml:space="preserve"> </w:t>
      </w:r>
      <w:r w:rsidRPr="00C66B91">
        <w:rPr>
          <w:iCs/>
          <w:sz w:val="22"/>
          <w:szCs w:val="22"/>
          <w:lang w:val="en-GB" w:bidi="en-US"/>
        </w:rPr>
        <w:t>Business Combinations</w:t>
      </w:r>
      <w:r w:rsidRPr="00C66B91">
        <w:rPr>
          <w:sz w:val="22"/>
          <w:szCs w:val="22"/>
          <w:lang w:val="en-GB" w:bidi="en-US"/>
        </w:rPr>
        <w:t xml:space="preserve"> and investment property as defined in </w:t>
      </w:r>
      <w:hyperlink r:id="rId25" w:tgtFrame="_self" w:history="1">
        <w:r w:rsidRPr="00C66B91">
          <w:rPr>
            <w:rStyle w:val="Hyperlink"/>
            <w:color w:val="auto"/>
            <w:sz w:val="22"/>
            <w:szCs w:val="22"/>
            <w:u w:val="none"/>
            <w:lang w:val="en-GB" w:bidi="en-US"/>
          </w:rPr>
          <w:t>IAS 40</w:t>
        </w:r>
      </w:hyperlink>
      <w:r w:rsidRPr="00C66B91">
        <w:rPr>
          <w:sz w:val="22"/>
          <w:szCs w:val="22"/>
          <w:lang w:val="en-GB" w:bidi="en-US"/>
        </w:rPr>
        <w:t xml:space="preserve"> </w:t>
      </w:r>
      <w:r w:rsidRPr="00C66B91">
        <w:rPr>
          <w:iCs/>
          <w:sz w:val="22"/>
          <w:szCs w:val="22"/>
          <w:lang w:val="en-GB" w:bidi="en-US"/>
        </w:rPr>
        <w:t>Investment Property</w:t>
      </w:r>
      <w:r w:rsidRPr="00C66B91">
        <w:rPr>
          <w:sz w:val="22"/>
          <w:szCs w:val="22"/>
          <w:lang w:val="en-GB" w:bidi="en-US"/>
        </w:rPr>
        <w:t xml:space="preserve"> requires the separate application of both standards independently of each other.  </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26"/>
        </w:numPr>
        <w:adjustRightInd w:val="0"/>
        <w:ind w:left="360"/>
        <w:contextualSpacing/>
        <w:jc w:val="both"/>
        <w:rPr>
          <w:bCs/>
          <w:sz w:val="22"/>
          <w:szCs w:val="22"/>
          <w:lang w:val="en-GB" w:bidi="en-US"/>
        </w:rPr>
      </w:pPr>
      <w:r w:rsidRPr="00C66B91">
        <w:rPr>
          <w:bCs/>
          <w:sz w:val="22"/>
          <w:szCs w:val="22"/>
          <w:lang w:val="en-GB" w:bidi="en-US"/>
        </w:rPr>
        <w:t>IFRIC 21 “Levies” (issued on 20 May 2013), into force as of 1 January 2014, adopted by EU on 13 June 2014, published on 14 June 2014</w:t>
      </w:r>
    </w:p>
    <w:p w:rsidR="00FB5145" w:rsidRPr="00C66B91" w:rsidRDefault="00FB5145" w:rsidP="00FB5145">
      <w:pPr>
        <w:contextualSpacing/>
        <w:jc w:val="both"/>
        <w:rPr>
          <w:sz w:val="22"/>
          <w:szCs w:val="22"/>
          <w:lang w:val="en-GB" w:bidi="en-US"/>
        </w:rPr>
      </w:pPr>
    </w:p>
    <w:p w:rsidR="00FB5145" w:rsidRPr="00C66B91" w:rsidRDefault="00FB5145" w:rsidP="00FB5145">
      <w:pPr>
        <w:adjustRightInd w:val="0"/>
        <w:jc w:val="both"/>
        <w:rPr>
          <w:sz w:val="22"/>
          <w:szCs w:val="22"/>
          <w:lang w:val="en-GB" w:bidi="en-US"/>
        </w:rPr>
      </w:pPr>
      <w:r w:rsidRPr="00C66B91">
        <w:rPr>
          <w:sz w:val="22"/>
          <w:szCs w:val="22"/>
          <w:lang w:val="en-GB" w:bidi="en-US"/>
        </w:rPr>
        <w:t xml:space="preserve">IFRIC 21 provides guidance on when to recognize a liability for a levy imposed by a government, both for levies that are accounted for in accordance with </w:t>
      </w:r>
      <w:hyperlink r:id="rId26" w:history="1">
        <w:r w:rsidRPr="00C66B91">
          <w:rPr>
            <w:rStyle w:val="Hyperlink"/>
            <w:color w:val="auto"/>
            <w:sz w:val="22"/>
            <w:szCs w:val="22"/>
            <w:u w:val="none"/>
            <w:lang w:val="en-GB" w:bidi="en-US"/>
          </w:rPr>
          <w:t>IAS 37</w:t>
        </w:r>
      </w:hyperlink>
      <w:r w:rsidRPr="00C66B91">
        <w:rPr>
          <w:sz w:val="22"/>
          <w:szCs w:val="22"/>
          <w:lang w:val="en-GB" w:bidi="en-US"/>
        </w:rPr>
        <w:t xml:space="preserve"> </w:t>
      </w:r>
      <w:r w:rsidRPr="00C66B91">
        <w:rPr>
          <w:iCs/>
          <w:sz w:val="22"/>
          <w:szCs w:val="22"/>
          <w:lang w:val="en-GB" w:bidi="en-US"/>
        </w:rPr>
        <w:t>Provisions, Contingent Liabilities and Contingent Assets</w:t>
      </w:r>
      <w:r w:rsidRPr="00C66B91">
        <w:rPr>
          <w:sz w:val="22"/>
          <w:szCs w:val="22"/>
          <w:lang w:val="en-GB" w:bidi="en-US"/>
        </w:rPr>
        <w:t xml:space="preserve"> and those where the timing and amount of the levy is certain. The Interpretation covers the accounting for outflows imposed on entities by governments (including government agencies and similar bodies) in accordance with laws and/or regulations.  However, it does not include income taxes (see </w:t>
      </w:r>
      <w:hyperlink r:id="rId27" w:history="1">
        <w:r w:rsidRPr="00C66B91">
          <w:rPr>
            <w:rStyle w:val="Hyperlink"/>
            <w:color w:val="auto"/>
            <w:sz w:val="22"/>
            <w:szCs w:val="22"/>
            <w:u w:val="none"/>
            <w:lang w:val="en-GB" w:bidi="en-US"/>
          </w:rPr>
          <w:t>IAS 12</w:t>
        </w:r>
      </w:hyperlink>
      <w:r w:rsidRPr="00C66B91">
        <w:rPr>
          <w:sz w:val="22"/>
          <w:szCs w:val="22"/>
          <w:lang w:val="en-GB" w:bidi="en-US"/>
        </w:rPr>
        <w:t xml:space="preserve"> </w:t>
      </w:r>
      <w:r w:rsidRPr="00C66B91">
        <w:rPr>
          <w:iCs/>
          <w:sz w:val="22"/>
          <w:szCs w:val="22"/>
          <w:lang w:val="en-GB" w:bidi="en-US"/>
        </w:rPr>
        <w:t>Income Taxes</w:t>
      </w:r>
      <w:r w:rsidRPr="00C66B91">
        <w:rPr>
          <w:sz w:val="22"/>
          <w:szCs w:val="22"/>
          <w:lang w:val="en-GB" w:bidi="en-US"/>
        </w:rPr>
        <w:t xml:space="preserve">), fines and other penalties, liabilities arising from emissions trading schemes and outflows within the scope of other Standards. IFRIC 21 identifies the obligating event for the recognition of a liability as the activity that triggers the payment of the levy in accordance with the relevant legislation. The Interpretation clarifies that 'economic compulsion' and the going concern principle do not create or imply that an obligating event has occurred. </w:t>
      </w:r>
    </w:p>
    <w:p w:rsidR="00FB5145" w:rsidRPr="00C66B91" w:rsidRDefault="00FB5145" w:rsidP="00FB5145">
      <w:pPr>
        <w:jc w:val="both"/>
        <w:rPr>
          <w:b/>
          <w:sz w:val="22"/>
          <w:szCs w:val="22"/>
          <w:lang w:val="en-GB" w:bidi="en-US"/>
        </w:rPr>
      </w:pPr>
    </w:p>
    <w:p w:rsidR="00FB5145" w:rsidRPr="00C66B91" w:rsidRDefault="00FB5145" w:rsidP="00FB5145">
      <w:pPr>
        <w:jc w:val="both"/>
        <w:rPr>
          <w:sz w:val="22"/>
          <w:szCs w:val="22"/>
          <w:lang w:val="en-GB" w:bidi="en-US"/>
        </w:rPr>
      </w:pPr>
      <w:r w:rsidRPr="00C66B91">
        <w:rPr>
          <w:b/>
          <w:sz w:val="22"/>
          <w:szCs w:val="22"/>
          <w:lang w:val="en-GB" w:bidi="en-US"/>
        </w:rPr>
        <w:t>Documents issued by IASB/IFRIC, which are not approved for application by EU</w:t>
      </w:r>
    </w:p>
    <w:p w:rsidR="00FB5145" w:rsidRPr="00C66B91" w:rsidRDefault="00FB5145" w:rsidP="00FB5145">
      <w:pPr>
        <w:adjustRightInd w:val="0"/>
        <w:jc w:val="both"/>
        <w:rPr>
          <w:sz w:val="22"/>
          <w:szCs w:val="22"/>
          <w:lang w:val="en-GB" w:bidi="en-US"/>
        </w:rPr>
      </w:pPr>
      <w:r w:rsidRPr="00C66B91">
        <w:rPr>
          <w:sz w:val="22"/>
          <w:szCs w:val="22"/>
          <w:lang w:val="en-GB" w:bidi="en-US"/>
        </w:rPr>
        <w:br/>
        <w:t>The following new or revised standards, new interpretations and amendments to existing standards, which are issued by the International Accounting Standards Board (IASB) as at the reporting date, are not yet approved for application by EU and respectively are not taken into account by the Group upon the preparation of the financial statements.</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37"/>
        </w:numPr>
        <w:ind w:left="360"/>
        <w:contextualSpacing/>
        <w:jc w:val="both"/>
        <w:rPr>
          <w:sz w:val="22"/>
          <w:szCs w:val="22"/>
          <w:lang w:val="en-GB" w:bidi="en-US"/>
        </w:rPr>
      </w:pPr>
      <w:r w:rsidRPr="00C66B91">
        <w:rPr>
          <w:sz w:val="22"/>
          <w:szCs w:val="22"/>
          <w:lang w:val="en-GB" w:bidi="en-US"/>
        </w:rPr>
        <w:t xml:space="preserve">IFRS 9 “Financial Instruments” (issued on 12 November 2009) and Amendments to IFRS 9 and IFRS 7 “Mandatory Effective Date and Transition Disclosures” (issued on 16 December 2011), into force as of 1 January 2015; hedge accounting and amendments to IFRS 9, IFRS 7 and IAS 39 (issued on 19 November 2013) </w:t>
      </w:r>
    </w:p>
    <w:p w:rsidR="00FB5145" w:rsidRPr="00C66B91" w:rsidRDefault="00FB5145" w:rsidP="00FB5145">
      <w:pPr>
        <w:jc w:val="both"/>
        <w:rPr>
          <w:sz w:val="22"/>
          <w:szCs w:val="22"/>
          <w:lang w:val="en-GB" w:bidi="en-US"/>
        </w:rPr>
      </w:pPr>
    </w:p>
    <w:p w:rsidR="00FB5145" w:rsidRPr="00C66B91" w:rsidRDefault="00FB5145" w:rsidP="00FB5145">
      <w:pPr>
        <w:jc w:val="both"/>
        <w:rPr>
          <w:sz w:val="22"/>
          <w:szCs w:val="22"/>
          <w:lang w:val="en-GB"/>
        </w:rPr>
      </w:pPr>
      <w:r w:rsidRPr="00C66B91">
        <w:rPr>
          <w:sz w:val="22"/>
          <w:szCs w:val="22"/>
          <w:lang w:val="en-GB"/>
        </w:rPr>
        <w:t>IFRS 9 is the first step of IASB project to replace the existing IAS 39 “Financial Instruments: Recognition and Measurement” as at the end of 2010 and substitutes, based on a single principle, the four categories of financial assets upon their measurement in accordance with the classification of IAS 39. IFRS 9 requires all financial assets to be measured at amortized cost or at fair value. The amortized cost provides information that is useful for the making of decisions concerning the financial assets, which are held before the receipt of cash flows, representing payments of principals and interests.</w:t>
      </w:r>
      <w:r w:rsidRPr="00C66B91">
        <w:rPr>
          <w:sz w:val="22"/>
          <w:szCs w:val="22"/>
          <w:lang w:val="en-GB" w:bidi="en-US"/>
        </w:rPr>
        <w:t xml:space="preserve"> For all the other financial assets, including those held for trading, the most suitable basis for measurement is the fair value. IFRS 9 removes the need of several amortization methods and permits the amortization method only for assets that are measured at amortized cost.  There are still developed additional sections related to the impairment of assets and hedge accounting. The company management shall evaluate the effects of the amendments on the financial statement. However, the management does not expect that the changes will become applicable before the issuing of all sections of the standard,</w:t>
      </w:r>
      <w:r w:rsidRPr="00C66B91">
        <w:rPr>
          <w:sz w:val="22"/>
          <w:szCs w:val="22"/>
          <w:lang w:val="en-GB"/>
        </w:rPr>
        <w:t xml:space="preserve"> when it will be able to evaluate their overall effect on the financial statements. </w:t>
      </w:r>
    </w:p>
    <w:p w:rsidR="00FB5145" w:rsidRPr="00C66B91" w:rsidRDefault="00FB5145" w:rsidP="00FB5145">
      <w:pPr>
        <w:jc w:val="both"/>
        <w:rPr>
          <w:sz w:val="22"/>
          <w:szCs w:val="22"/>
          <w:lang w:val="en-GB"/>
        </w:rPr>
      </w:pPr>
    </w:p>
    <w:p w:rsidR="00FB5145" w:rsidRPr="00C66B91" w:rsidRDefault="00FB5145" w:rsidP="00FB5145">
      <w:pPr>
        <w:numPr>
          <w:ilvl w:val="0"/>
          <w:numId w:val="37"/>
        </w:numPr>
        <w:adjustRightInd w:val="0"/>
        <w:ind w:left="360"/>
        <w:contextualSpacing/>
        <w:jc w:val="both"/>
        <w:rPr>
          <w:sz w:val="22"/>
          <w:szCs w:val="22"/>
          <w:lang w:val="en-GB" w:bidi="en-US"/>
        </w:rPr>
      </w:pPr>
      <w:r w:rsidRPr="00C66B91">
        <w:rPr>
          <w:sz w:val="22"/>
          <w:szCs w:val="22"/>
          <w:lang w:val="en-GB" w:bidi="en-US"/>
        </w:rPr>
        <w:t>IFRS 14 “Regulatory Deferral Accounts” (issued on 30 January 2014), in effect as of 1 January 2016</w:t>
      </w:r>
    </w:p>
    <w:p w:rsidR="00FB5145" w:rsidRPr="00C66B91" w:rsidRDefault="00FB5145" w:rsidP="00FB5145">
      <w:pPr>
        <w:adjustRightInd w:val="0"/>
        <w:ind w:left="360"/>
        <w:contextualSpacing/>
        <w:jc w:val="both"/>
        <w:rPr>
          <w:sz w:val="22"/>
          <w:szCs w:val="22"/>
          <w:lang w:val="en-GB" w:bidi="en-US"/>
        </w:rPr>
      </w:pPr>
    </w:p>
    <w:p w:rsidR="00FB5145" w:rsidRPr="00C66B91" w:rsidRDefault="00FB5145" w:rsidP="00FB5145">
      <w:pPr>
        <w:jc w:val="both"/>
        <w:rPr>
          <w:sz w:val="22"/>
          <w:szCs w:val="22"/>
          <w:lang w:val="en-GB"/>
        </w:rPr>
      </w:pPr>
      <w:r w:rsidRPr="00C66B91">
        <w:rPr>
          <w:sz w:val="22"/>
          <w:szCs w:val="22"/>
          <w:lang w:val="en-GB"/>
        </w:rPr>
        <w:t>IFRS 14 permits an entity, which is a first-time adopter of IFRS to continue to account, with some limited changes, for 'regulatory deferral account balances' in accordance with its previous basis for preparation of financial statements, both on initial adoption of IFRS and in subsequent financial statements. Regulatory deferral account balances, and movements in them, are presented separately in the statement of financial position and statement of profit or loss and other comprehensive income, and specific disclosures are required.</w:t>
      </w:r>
    </w:p>
    <w:p w:rsidR="00FB5145" w:rsidRPr="00C66B91" w:rsidRDefault="00FB5145" w:rsidP="00FB5145">
      <w:pPr>
        <w:jc w:val="both"/>
        <w:rPr>
          <w:rFonts w:ascii="Cambria" w:hAnsi="Cambria"/>
          <w:sz w:val="22"/>
          <w:szCs w:val="22"/>
          <w:lang w:val="en-GB"/>
        </w:rPr>
      </w:pPr>
    </w:p>
    <w:p w:rsidR="00FB5145" w:rsidRPr="00C66B91" w:rsidRDefault="00FB5145" w:rsidP="00FB5145">
      <w:pPr>
        <w:numPr>
          <w:ilvl w:val="0"/>
          <w:numId w:val="37"/>
        </w:numPr>
        <w:adjustRightInd w:val="0"/>
        <w:ind w:left="360"/>
        <w:contextualSpacing/>
        <w:jc w:val="both"/>
        <w:rPr>
          <w:sz w:val="22"/>
          <w:szCs w:val="22"/>
          <w:lang w:val="en-GB" w:bidi="en-US"/>
        </w:rPr>
      </w:pPr>
      <w:r w:rsidRPr="00C66B91">
        <w:rPr>
          <w:sz w:val="22"/>
          <w:szCs w:val="22"/>
          <w:lang w:val="en-GB" w:bidi="en-US"/>
        </w:rPr>
        <w:t>IFRS 15 “Revenues from Contracts with Customers” (issued on 28 May 2014), into force as of 1 January 2017</w:t>
      </w:r>
    </w:p>
    <w:p w:rsidR="00FB5145" w:rsidRPr="00C66B91" w:rsidRDefault="00FB5145" w:rsidP="00FB5145">
      <w:pPr>
        <w:adjustRightInd w:val="0"/>
        <w:ind w:left="360"/>
        <w:contextualSpacing/>
        <w:jc w:val="both"/>
        <w:rPr>
          <w:sz w:val="22"/>
          <w:szCs w:val="22"/>
          <w:lang w:val="en-GB" w:bidi="en-US"/>
        </w:rPr>
      </w:pPr>
    </w:p>
    <w:p w:rsidR="00FB5145" w:rsidRPr="00C66B91" w:rsidRDefault="00FB5145" w:rsidP="00FB5145">
      <w:pPr>
        <w:jc w:val="both"/>
        <w:rPr>
          <w:sz w:val="22"/>
          <w:szCs w:val="22"/>
          <w:lang w:val="en-GB"/>
        </w:rPr>
      </w:pPr>
      <w:r w:rsidRPr="00C66B91">
        <w:rPr>
          <w:sz w:val="22"/>
          <w:szCs w:val="22"/>
          <w:lang w:val="en-GB"/>
        </w:rPr>
        <w:t>IFRS 15 specifies how and when an IFRS reporter will recognize revenue as well as requiring such entities to provide users of financial statements with more informative, relevant disclosures. The standard provides a single, principles based five-step model to be applied to all contracts with customers.</w:t>
      </w:r>
    </w:p>
    <w:p w:rsidR="00FB5145" w:rsidRPr="00C66B91" w:rsidRDefault="00FB5145" w:rsidP="00FB5145">
      <w:pPr>
        <w:jc w:val="both"/>
        <w:rPr>
          <w:sz w:val="22"/>
          <w:szCs w:val="22"/>
          <w:lang w:val="en-GB"/>
        </w:rPr>
      </w:pPr>
    </w:p>
    <w:p w:rsidR="00FB5145" w:rsidRPr="00C66B91" w:rsidRDefault="00FB5145" w:rsidP="00FB5145">
      <w:pPr>
        <w:numPr>
          <w:ilvl w:val="0"/>
          <w:numId w:val="37"/>
        </w:numPr>
        <w:adjustRightInd w:val="0"/>
        <w:ind w:left="360"/>
        <w:contextualSpacing/>
        <w:jc w:val="both"/>
        <w:rPr>
          <w:sz w:val="22"/>
          <w:szCs w:val="22"/>
          <w:lang w:val="en-GB" w:bidi="en-US"/>
        </w:rPr>
      </w:pPr>
      <w:r w:rsidRPr="00C66B91">
        <w:rPr>
          <w:sz w:val="22"/>
          <w:szCs w:val="22"/>
          <w:lang w:val="en-GB" w:bidi="en-US"/>
        </w:rPr>
        <w:t xml:space="preserve">Amendments to IFRS 11 “Accounting for Acquisitions of Interests in Joint Operations” (issued on 6 May 2014), into force as of 1 January 2016 </w:t>
      </w:r>
    </w:p>
    <w:p w:rsidR="00FB5145" w:rsidRPr="00C66B91" w:rsidRDefault="00FB5145" w:rsidP="00FB5145">
      <w:pPr>
        <w:jc w:val="both"/>
        <w:rPr>
          <w:color w:val="333333"/>
          <w:sz w:val="22"/>
          <w:szCs w:val="22"/>
          <w:lang w:val="en-GB" w:eastAsia="bg-BG" w:bidi="en-US"/>
        </w:rPr>
      </w:pPr>
    </w:p>
    <w:p w:rsidR="00FB5145" w:rsidRPr="00C66B91" w:rsidRDefault="00FB5145" w:rsidP="00FB5145">
      <w:pPr>
        <w:jc w:val="both"/>
        <w:rPr>
          <w:sz w:val="22"/>
          <w:szCs w:val="22"/>
          <w:lang w:val="en-GB"/>
        </w:rPr>
      </w:pPr>
      <w:r w:rsidRPr="00C66B91">
        <w:rPr>
          <w:sz w:val="22"/>
          <w:szCs w:val="22"/>
          <w:lang w:val="en-GB"/>
        </w:rPr>
        <w:t xml:space="preserve">The amendments clarify the accounting for acquisitions of interests in joint operations in which the activity constitutes a business. </w:t>
      </w:r>
    </w:p>
    <w:p w:rsidR="00FB5145" w:rsidRPr="00C66B91" w:rsidRDefault="00FB5145" w:rsidP="00FB5145">
      <w:pPr>
        <w:jc w:val="both"/>
        <w:rPr>
          <w:color w:val="333333"/>
          <w:sz w:val="22"/>
          <w:szCs w:val="22"/>
          <w:lang w:val="en-GB" w:eastAsia="bg-BG" w:bidi="en-US"/>
        </w:rPr>
      </w:pPr>
    </w:p>
    <w:p w:rsidR="00FB5145" w:rsidRPr="00C66B91" w:rsidRDefault="00FB5145" w:rsidP="00FB5145">
      <w:pPr>
        <w:numPr>
          <w:ilvl w:val="0"/>
          <w:numId w:val="37"/>
        </w:numPr>
        <w:adjustRightInd w:val="0"/>
        <w:ind w:left="360"/>
        <w:contextualSpacing/>
        <w:jc w:val="both"/>
        <w:rPr>
          <w:sz w:val="22"/>
          <w:szCs w:val="22"/>
          <w:lang w:val="en-GB" w:bidi="en-US"/>
        </w:rPr>
      </w:pPr>
      <w:r w:rsidRPr="00C66B91">
        <w:rPr>
          <w:sz w:val="22"/>
          <w:szCs w:val="22"/>
          <w:lang w:val="en-GB" w:bidi="en-US"/>
        </w:rPr>
        <w:t xml:space="preserve">Amendments to IAS 16 and IAS 38: “Clarification of Acceptable Methods of Depreciation and Amortization” (issued on 12 May 2014), into force as of 1 January 2016 </w:t>
      </w:r>
    </w:p>
    <w:p w:rsidR="00FB5145" w:rsidRPr="00C66B91" w:rsidRDefault="00FB5145" w:rsidP="00FB5145">
      <w:pPr>
        <w:jc w:val="both"/>
        <w:rPr>
          <w:color w:val="333333"/>
          <w:sz w:val="22"/>
          <w:szCs w:val="22"/>
          <w:lang w:val="en-GB" w:eastAsia="bg-BG" w:bidi="en-US"/>
        </w:rPr>
      </w:pPr>
    </w:p>
    <w:p w:rsidR="00FB5145" w:rsidRPr="00C66B91" w:rsidRDefault="00FB5145" w:rsidP="00FB5145">
      <w:pPr>
        <w:jc w:val="both"/>
        <w:rPr>
          <w:sz w:val="22"/>
          <w:szCs w:val="22"/>
          <w:lang w:val="en-GB"/>
        </w:rPr>
      </w:pPr>
      <w:r w:rsidRPr="00C66B91">
        <w:rPr>
          <w:sz w:val="22"/>
          <w:szCs w:val="22"/>
          <w:lang w:val="en-GB"/>
        </w:rPr>
        <w:t>The amendments clarify that the revenue-based method is not considered to be an appropriate manifestation of consumption.</w:t>
      </w:r>
    </w:p>
    <w:p w:rsidR="00FB5145" w:rsidRPr="00C66B91" w:rsidRDefault="00FB5145" w:rsidP="00FB5145">
      <w:pPr>
        <w:jc w:val="both"/>
        <w:rPr>
          <w:sz w:val="22"/>
          <w:szCs w:val="22"/>
          <w:lang w:val="en-GB"/>
        </w:rPr>
      </w:pPr>
    </w:p>
    <w:p w:rsidR="00FB5145" w:rsidRPr="00C66B91" w:rsidRDefault="00FB5145" w:rsidP="00FB5145">
      <w:pPr>
        <w:numPr>
          <w:ilvl w:val="0"/>
          <w:numId w:val="37"/>
        </w:numPr>
        <w:adjustRightInd w:val="0"/>
        <w:ind w:left="360"/>
        <w:contextualSpacing/>
        <w:jc w:val="both"/>
        <w:rPr>
          <w:sz w:val="22"/>
          <w:szCs w:val="22"/>
          <w:lang w:val="en-GB" w:bidi="en-US"/>
        </w:rPr>
      </w:pPr>
      <w:r w:rsidRPr="00C66B91">
        <w:rPr>
          <w:sz w:val="22"/>
          <w:szCs w:val="22"/>
          <w:lang w:val="en-GB" w:bidi="en-US"/>
        </w:rPr>
        <w:t>Amendments to IAS 16 and IAS 41: “Bearer Plants” (issued on 30 June 2014), into force as of 1 January 2016</w:t>
      </w:r>
    </w:p>
    <w:p w:rsidR="00FB5145" w:rsidRPr="00C66B91" w:rsidRDefault="00FB5145" w:rsidP="00FB5145">
      <w:pPr>
        <w:jc w:val="both"/>
        <w:rPr>
          <w:color w:val="333333"/>
          <w:sz w:val="22"/>
          <w:szCs w:val="22"/>
          <w:lang w:val="en-GB" w:eastAsia="bg-BG" w:bidi="en-US"/>
        </w:rPr>
      </w:pPr>
    </w:p>
    <w:p w:rsidR="00FB5145" w:rsidRPr="00C66B91" w:rsidRDefault="00FB5145" w:rsidP="00FB5145">
      <w:pPr>
        <w:jc w:val="both"/>
        <w:rPr>
          <w:sz w:val="22"/>
          <w:szCs w:val="22"/>
          <w:lang w:val="en-GB"/>
        </w:rPr>
      </w:pPr>
      <w:r w:rsidRPr="00C66B91">
        <w:rPr>
          <w:sz w:val="22"/>
          <w:szCs w:val="22"/>
          <w:lang w:val="en-GB"/>
        </w:rPr>
        <w:t>The amendments bring bearer plants, which are used solely to grow produce, into the scope of IAS 16 so that they are accounted for in the same way as property, plant and equipment.</w:t>
      </w:r>
    </w:p>
    <w:p w:rsidR="00FB5145" w:rsidRPr="00C66B91" w:rsidRDefault="00FB5145" w:rsidP="00FB5145">
      <w:pPr>
        <w:jc w:val="both"/>
        <w:rPr>
          <w:sz w:val="22"/>
          <w:szCs w:val="22"/>
          <w:lang w:val="en-GB"/>
        </w:rPr>
      </w:pPr>
      <w:r w:rsidRPr="00C66B91">
        <w:rPr>
          <w:sz w:val="22"/>
          <w:szCs w:val="22"/>
          <w:lang w:val="en-GB"/>
        </w:rPr>
        <w:t xml:space="preserve"> </w:t>
      </w:r>
    </w:p>
    <w:p w:rsidR="00FB5145" w:rsidRPr="00C66B91" w:rsidRDefault="00FB5145" w:rsidP="00FB5145">
      <w:pPr>
        <w:numPr>
          <w:ilvl w:val="0"/>
          <w:numId w:val="37"/>
        </w:numPr>
        <w:adjustRightInd w:val="0"/>
        <w:ind w:left="360"/>
        <w:contextualSpacing/>
        <w:jc w:val="both"/>
        <w:rPr>
          <w:sz w:val="22"/>
          <w:szCs w:val="22"/>
          <w:lang w:val="en-GB" w:bidi="en-US"/>
        </w:rPr>
      </w:pPr>
      <w:r w:rsidRPr="00C66B91">
        <w:rPr>
          <w:sz w:val="22"/>
          <w:szCs w:val="22"/>
          <w:lang w:val="en-GB" w:bidi="en-US"/>
        </w:rPr>
        <w:t>Amendments to IAS 27: “Equity Method in Separate Financial Statements” (issued on 12 August 2014), into force as of 1 January 2016</w:t>
      </w:r>
    </w:p>
    <w:p w:rsidR="00FB5145" w:rsidRPr="00C66B91" w:rsidRDefault="00FB5145" w:rsidP="00FB5145">
      <w:pPr>
        <w:jc w:val="both"/>
        <w:rPr>
          <w:color w:val="333333"/>
          <w:sz w:val="22"/>
          <w:szCs w:val="22"/>
          <w:lang w:val="en-GB" w:eastAsia="bg-BG" w:bidi="en-US"/>
        </w:rPr>
      </w:pPr>
    </w:p>
    <w:p w:rsidR="00FB5145" w:rsidRPr="00C66B91" w:rsidRDefault="00FB5145" w:rsidP="00FB5145">
      <w:pPr>
        <w:jc w:val="both"/>
        <w:rPr>
          <w:sz w:val="22"/>
          <w:szCs w:val="22"/>
          <w:lang w:val="en-GB"/>
        </w:rPr>
      </w:pPr>
      <w:r w:rsidRPr="00C66B91">
        <w:rPr>
          <w:sz w:val="22"/>
          <w:szCs w:val="22"/>
          <w:lang w:val="en-GB"/>
        </w:rPr>
        <w:t>The amendments bring back the equity method as a way of accounting for investments in subsidiary companies, joint ventures or associates in the separate financial statements of the company.</w:t>
      </w:r>
    </w:p>
    <w:p w:rsidR="00FB5145" w:rsidRPr="00C66B91" w:rsidRDefault="00FB5145" w:rsidP="00FB5145">
      <w:pPr>
        <w:jc w:val="both"/>
        <w:rPr>
          <w:sz w:val="22"/>
          <w:szCs w:val="22"/>
          <w:lang w:val="en-GB"/>
        </w:rPr>
      </w:pPr>
      <w:r w:rsidRPr="00C66B91">
        <w:rPr>
          <w:sz w:val="22"/>
          <w:szCs w:val="22"/>
          <w:lang w:val="en-GB"/>
        </w:rPr>
        <w:lastRenderedPageBreak/>
        <w:t xml:space="preserve"> </w:t>
      </w:r>
    </w:p>
    <w:p w:rsidR="00FB5145" w:rsidRPr="00C66B91" w:rsidRDefault="00FB5145" w:rsidP="00FB5145">
      <w:pPr>
        <w:numPr>
          <w:ilvl w:val="0"/>
          <w:numId w:val="37"/>
        </w:numPr>
        <w:adjustRightInd w:val="0"/>
        <w:ind w:left="360"/>
        <w:contextualSpacing/>
        <w:jc w:val="both"/>
        <w:rPr>
          <w:sz w:val="22"/>
          <w:szCs w:val="22"/>
          <w:lang w:val="en-GB" w:bidi="en-US"/>
        </w:rPr>
      </w:pPr>
      <w:r w:rsidRPr="00C66B91">
        <w:rPr>
          <w:sz w:val="22"/>
          <w:szCs w:val="22"/>
          <w:lang w:val="en-GB" w:bidi="en-US"/>
        </w:rPr>
        <w:t>Amendments to IFRS 10 and IAS 28: “Sale or Contribution of Assets between an Investor and its Associate or Joint Venture” (issued on 11 September 2014), into force as of 1 January 2016</w:t>
      </w:r>
    </w:p>
    <w:p w:rsidR="00FB5145" w:rsidRPr="00C66B91" w:rsidRDefault="00FB5145" w:rsidP="00FB5145">
      <w:pPr>
        <w:jc w:val="both"/>
        <w:rPr>
          <w:color w:val="333333"/>
          <w:sz w:val="22"/>
          <w:szCs w:val="22"/>
          <w:lang w:val="en-GB" w:eastAsia="bg-BG" w:bidi="en-US"/>
        </w:rPr>
      </w:pPr>
    </w:p>
    <w:p w:rsidR="00FB5145" w:rsidRPr="00C66B91" w:rsidRDefault="00FB5145" w:rsidP="00FB5145">
      <w:pPr>
        <w:jc w:val="both"/>
        <w:rPr>
          <w:sz w:val="22"/>
          <w:szCs w:val="22"/>
          <w:lang w:val="en-GB"/>
        </w:rPr>
      </w:pPr>
      <w:r w:rsidRPr="00C66B91">
        <w:rPr>
          <w:sz w:val="22"/>
          <w:szCs w:val="22"/>
          <w:lang w:val="en-GB"/>
        </w:rPr>
        <w:t>The amendments are directed to a contradiction between the requirements of IAS 28 “Investments in Associates and Joint Ventures” and the requirements of IFRS 10 “Consolidated Financial Statements” and clarify that in a transaction, including an associate or a joint venture, the extent of accounting for profits and losses depends on whether the asset sold or contributed constitutes a business.</w:t>
      </w:r>
    </w:p>
    <w:p w:rsidR="00FB5145" w:rsidRPr="00C66B91" w:rsidRDefault="00FB5145" w:rsidP="00FB5145">
      <w:pPr>
        <w:jc w:val="both"/>
        <w:rPr>
          <w:sz w:val="22"/>
          <w:szCs w:val="22"/>
          <w:lang w:val="en-GB"/>
        </w:rPr>
      </w:pPr>
      <w:r w:rsidRPr="00C66B91">
        <w:rPr>
          <w:sz w:val="22"/>
          <w:szCs w:val="22"/>
          <w:lang w:val="en-GB"/>
        </w:rPr>
        <w:t xml:space="preserve"> </w:t>
      </w:r>
    </w:p>
    <w:p w:rsidR="00FB5145" w:rsidRPr="00C66B91" w:rsidRDefault="00FB5145" w:rsidP="00FB5145">
      <w:pPr>
        <w:numPr>
          <w:ilvl w:val="0"/>
          <w:numId w:val="37"/>
        </w:numPr>
        <w:adjustRightInd w:val="0"/>
        <w:ind w:left="360"/>
        <w:contextualSpacing/>
        <w:jc w:val="both"/>
        <w:rPr>
          <w:sz w:val="22"/>
          <w:szCs w:val="22"/>
          <w:lang w:val="en-GB" w:bidi="en-US"/>
        </w:rPr>
      </w:pPr>
      <w:r w:rsidRPr="00C66B91">
        <w:rPr>
          <w:sz w:val="22"/>
          <w:szCs w:val="22"/>
          <w:lang w:val="en-GB" w:bidi="en-US"/>
        </w:rPr>
        <w:t>Annual improvements of IFRS 2012 – 2014 cycle (issued on 25 September 2014), into force as of 1 January 2016</w:t>
      </w:r>
    </w:p>
    <w:p w:rsidR="00FB5145" w:rsidRPr="00C66B91" w:rsidRDefault="00FB5145" w:rsidP="00FB5145">
      <w:pPr>
        <w:adjustRightInd w:val="0"/>
        <w:ind w:left="360"/>
        <w:contextualSpacing/>
        <w:jc w:val="both"/>
        <w:rPr>
          <w:sz w:val="22"/>
          <w:szCs w:val="22"/>
          <w:lang w:val="en-GB" w:bidi="en-US"/>
        </w:rPr>
      </w:pPr>
    </w:p>
    <w:p w:rsidR="00FB5145" w:rsidRPr="00C66B91" w:rsidRDefault="00FB5145" w:rsidP="00FB5145">
      <w:pPr>
        <w:jc w:val="both"/>
        <w:rPr>
          <w:sz w:val="22"/>
          <w:szCs w:val="22"/>
          <w:lang w:val="en-GB"/>
        </w:rPr>
      </w:pPr>
      <w:r w:rsidRPr="00C66B91">
        <w:rPr>
          <w:sz w:val="22"/>
          <w:szCs w:val="22"/>
          <w:lang w:val="en-GB"/>
        </w:rPr>
        <w:t>The amendment of IFRS 5 “Non-current Assets Held for Sale and Discontinued Operations” adds specific guidance for cases in which an entity reclassifies an asset from held for sale to held for distribution or vice versa and cases in which held-for-distribution accounting is discontinued.</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The amendment to IFRS 7 “Financial Instruments: Disclosures” adds additional guidance to clarify whether a servicing contract is continuing involvement in a transferred asset for the purpose of determining the disclosures required. The consequential amendment to IFRS 1 clarifies the applicability of the amendments to IFRS 7 on offsetting disclosures to condensed interim financial statements.</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 xml:space="preserve">The amendment to IAS 19 “Employee Benefits” clarifies that the high quality corporate bonds used in estimating the discount rate for post-employment benefits should be denominated in the same currency as the benefits to be paid (thus, the depth of the market for high quality corporate bonds should be assessed at currency level). </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The amendment to IAS 34 “Interim Financial Reporting” clarifies the meaning of 'elsewhere in the interim report' and requires a cross-reference.</w:t>
      </w:r>
    </w:p>
    <w:p w:rsidR="00FB5145" w:rsidRPr="00C66B91" w:rsidRDefault="00FB5145" w:rsidP="00FB5145">
      <w:pPr>
        <w:adjustRightInd w:val="0"/>
        <w:jc w:val="both"/>
        <w:rPr>
          <w:sz w:val="22"/>
          <w:szCs w:val="22"/>
          <w:lang w:val="en-GB" w:bidi="en-US"/>
        </w:rPr>
      </w:pPr>
    </w:p>
    <w:p w:rsidR="00FB5145" w:rsidRPr="00C66B91" w:rsidRDefault="00FB5145" w:rsidP="00FB5145">
      <w:pPr>
        <w:numPr>
          <w:ilvl w:val="0"/>
          <w:numId w:val="37"/>
        </w:numPr>
        <w:adjustRightInd w:val="0"/>
        <w:ind w:left="360"/>
        <w:contextualSpacing/>
        <w:jc w:val="both"/>
        <w:rPr>
          <w:sz w:val="22"/>
          <w:szCs w:val="22"/>
          <w:lang w:val="en-GB" w:bidi="en-US"/>
        </w:rPr>
      </w:pPr>
      <w:r w:rsidRPr="00C66B91">
        <w:rPr>
          <w:sz w:val="22"/>
          <w:szCs w:val="22"/>
          <w:lang w:val="en-GB" w:bidi="en-US"/>
        </w:rPr>
        <w:t>Amendments to IAS 1: “Disclosure Initiative” (issued on 18 December 2014), into force as of 1 January 2016</w:t>
      </w:r>
    </w:p>
    <w:p w:rsidR="00FB5145" w:rsidRPr="00C66B91" w:rsidRDefault="00FB5145" w:rsidP="00FB5145">
      <w:pPr>
        <w:jc w:val="both"/>
        <w:rPr>
          <w:color w:val="333333"/>
          <w:sz w:val="22"/>
          <w:szCs w:val="22"/>
          <w:lang w:val="en-GB" w:eastAsia="bg-BG" w:bidi="en-US"/>
        </w:rPr>
      </w:pPr>
    </w:p>
    <w:p w:rsidR="00FB5145" w:rsidRPr="00C66B91" w:rsidRDefault="00FB5145" w:rsidP="00FB5145">
      <w:pPr>
        <w:jc w:val="both"/>
        <w:rPr>
          <w:sz w:val="22"/>
          <w:szCs w:val="22"/>
          <w:lang w:val="en-GB"/>
        </w:rPr>
      </w:pPr>
      <w:r w:rsidRPr="00C66B91">
        <w:rPr>
          <w:sz w:val="22"/>
          <w:szCs w:val="22"/>
          <w:lang w:val="en-GB"/>
        </w:rPr>
        <w:t>The amendments are intended at clarifying IAS 1 and are directed to the identified obstacles that the preparers are facing when using judgments in the presentation of the financial statements.</w:t>
      </w:r>
    </w:p>
    <w:p w:rsidR="00FB5145" w:rsidRPr="00C66B91" w:rsidRDefault="00FB5145" w:rsidP="00FB5145">
      <w:pPr>
        <w:jc w:val="both"/>
        <w:rPr>
          <w:sz w:val="22"/>
          <w:szCs w:val="22"/>
          <w:lang w:val="en-GB"/>
        </w:rPr>
      </w:pPr>
    </w:p>
    <w:p w:rsidR="00FB5145" w:rsidRPr="00C66B91" w:rsidRDefault="00FB5145" w:rsidP="00FB5145">
      <w:pPr>
        <w:numPr>
          <w:ilvl w:val="0"/>
          <w:numId w:val="37"/>
        </w:numPr>
        <w:adjustRightInd w:val="0"/>
        <w:ind w:left="360"/>
        <w:contextualSpacing/>
        <w:jc w:val="both"/>
        <w:rPr>
          <w:sz w:val="22"/>
          <w:szCs w:val="22"/>
          <w:lang w:val="en-GB" w:bidi="en-US"/>
        </w:rPr>
      </w:pPr>
      <w:r w:rsidRPr="00C66B91">
        <w:rPr>
          <w:sz w:val="22"/>
          <w:szCs w:val="22"/>
          <w:lang w:val="en-GB" w:bidi="en-US"/>
        </w:rPr>
        <w:t>Amendments to IFRS 10, IFRS 12 and IAS 28: Investment Entities: Applying the Consolidation Exception (issued on 18 December 2014)</w:t>
      </w:r>
    </w:p>
    <w:p w:rsidR="00FB5145" w:rsidRPr="00C66B91" w:rsidRDefault="00FB5145" w:rsidP="00FB5145">
      <w:pPr>
        <w:adjustRightInd w:val="0"/>
        <w:ind w:left="360"/>
        <w:contextualSpacing/>
        <w:jc w:val="both"/>
        <w:rPr>
          <w:sz w:val="22"/>
          <w:szCs w:val="22"/>
          <w:lang w:val="en-GB" w:bidi="en-US"/>
        </w:rPr>
      </w:pPr>
    </w:p>
    <w:p w:rsidR="00FB5145" w:rsidRPr="00C66B91" w:rsidRDefault="00FB5145" w:rsidP="00FB5145">
      <w:pPr>
        <w:jc w:val="both"/>
        <w:rPr>
          <w:sz w:val="22"/>
          <w:szCs w:val="22"/>
          <w:lang w:val="en-GB"/>
        </w:rPr>
      </w:pPr>
      <w:r w:rsidRPr="00C66B91">
        <w:rPr>
          <w:sz w:val="22"/>
          <w:szCs w:val="22"/>
          <w:lang w:val="en-GB"/>
        </w:rPr>
        <w:t xml:space="preserve">The amendments concern problems that occur when applying the consolidation exception to investment entities. </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 xml:space="preserve">Some of the standards and clarification that are referred hereinabove are not applicable to the activity of the Group, and, therefore, they will not affect the financial statements. As far as the others are concerned, as at the date of preparation of these statements, the Group management has not yet evaluated the potential effects of these changes on the financial statements. </w:t>
      </w:r>
    </w:p>
    <w:p w:rsidR="00FB5145" w:rsidRPr="00C66B91" w:rsidRDefault="00FB5145" w:rsidP="00FB5145">
      <w:pPr>
        <w:jc w:val="both"/>
        <w:rPr>
          <w:sz w:val="22"/>
          <w:szCs w:val="22"/>
          <w:lang w:val="en-GB"/>
        </w:rPr>
      </w:pPr>
    </w:p>
    <w:p w:rsidR="00FB5145" w:rsidRPr="00C66B91" w:rsidRDefault="00FB5145" w:rsidP="00FB5145">
      <w:pPr>
        <w:pStyle w:val="NormalIndent"/>
        <w:spacing w:after="0"/>
        <w:ind w:left="0"/>
        <w:rPr>
          <w:rFonts w:ascii="Times New Roman" w:hAnsi="Times New Roman"/>
          <w:b/>
          <w:smallCaps/>
          <w:sz w:val="22"/>
          <w:szCs w:val="22"/>
          <w:lang w:eastAsia="bg-BG"/>
        </w:rPr>
      </w:pPr>
      <w:bookmarkStart w:id="2" w:name="_Toc151775243"/>
      <w:bookmarkStart w:id="3" w:name="_Toc182739271"/>
      <w:r w:rsidRPr="00C66B91">
        <w:rPr>
          <w:rFonts w:ascii="Times New Roman" w:hAnsi="Times New Roman"/>
          <w:b/>
          <w:sz w:val="22"/>
          <w:szCs w:val="22"/>
        </w:rPr>
        <w:t>2.2</w:t>
      </w:r>
      <w:r w:rsidRPr="00C66B91">
        <w:rPr>
          <w:rFonts w:ascii="Times New Roman" w:hAnsi="Times New Roman"/>
          <w:b/>
          <w:sz w:val="22"/>
          <w:szCs w:val="22"/>
        </w:rPr>
        <w:tab/>
      </w:r>
      <w:bookmarkEnd w:id="2"/>
      <w:bookmarkEnd w:id="3"/>
      <w:r w:rsidRPr="00C66B91">
        <w:rPr>
          <w:rFonts w:ascii="Times New Roman" w:hAnsi="Times New Roman"/>
          <w:b/>
          <w:sz w:val="22"/>
          <w:szCs w:val="22"/>
        </w:rPr>
        <w:t>Changes in the accounting policy and disclosures</w:t>
      </w:r>
    </w:p>
    <w:p w:rsidR="00FB5145" w:rsidRPr="00C66B91" w:rsidRDefault="00FB5145" w:rsidP="00FB5145">
      <w:pPr>
        <w:pStyle w:val="NormalIndent"/>
        <w:spacing w:after="0"/>
        <w:ind w:left="0"/>
        <w:rPr>
          <w:rFonts w:ascii="Times New Roman" w:hAnsi="Times New Roman"/>
          <w:b/>
          <w:smallCaps/>
          <w:sz w:val="22"/>
          <w:szCs w:val="22"/>
          <w:lang w:eastAsia="bg-BG"/>
        </w:rPr>
      </w:pPr>
    </w:p>
    <w:p w:rsidR="00FB5145" w:rsidRPr="00C66B91" w:rsidRDefault="00FB5145" w:rsidP="00FB5145">
      <w:pPr>
        <w:pStyle w:val="NormalIndent"/>
        <w:spacing w:after="0"/>
        <w:ind w:left="0"/>
        <w:rPr>
          <w:rFonts w:ascii="Times New Roman" w:hAnsi="Times New Roman"/>
          <w:b/>
          <w:smallCaps/>
          <w:sz w:val="22"/>
          <w:szCs w:val="22"/>
          <w:lang w:eastAsia="bg-BG"/>
        </w:rPr>
      </w:pPr>
      <w:r w:rsidRPr="00C66B91">
        <w:rPr>
          <w:rFonts w:ascii="Times New Roman" w:hAnsi="Times New Roman"/>
          <w:sz w:val="22"/>
          <w:szCs w:val="22"/>
        </w:rPr>
        <w:t>The assumed accounting policies are consistent with those applied during the previous reporting period.</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Accounting judgments and assumptions were used for the preparation of the presented financial statement. Although they are based on information that was available to the management as at the date of preparation of the financial statement, the real results may differ from the judgments and assumptions made.</w:t>
      </w:r>
    </w:p>
    <w:p w:rsidR="00FB5145" w:rsidRPr="00C66B91" w:rsidRDefault="00FB5145" w:rsidP="00FB5145">
      <w:pPr>
        <w:jc w:val="both"/>
        <w:rPr>
          <w:b/>
          <w:lang w:val="en-GB"/>
        </w:rPr>
      </w:pPr>
    </w:p>
    <w:p w:rsidR="00FB5145" w:rsidRPr="00C66B91" w:rsidRDefault="00FB5145" w:rsidP="00FB5145">
      <w:pPr>
        <w:jc w:val="both"/>
        <w:rPr>
          <w:bCs/>
          <w:sz w:val="22"/>
          <w:szCs w:val="22"/>
          <w:lang w:val="en-GB"/>
        </w:rPr>
      </w:pPr>
      <w:r w:rsidRPr="00C66B91">
        <w:rPr>
          <w:b/>
          <w:sz w:val="22"/>
          <w:szCs w:val="22"/>
          <w:lang w:val="en-GB"/>
        </w:rPr>
        <w:t>Judgments</w:t>
      </w:r>
    </w:p>
    <w:p w:rsidR="00FB5145" w:rsidRPr="00C66B91" w:rsidRDefault="00FB5145" w:rsidP="00FB5145">
      <w:pPr>
        <w:pStyle w:val="dheader"/>
        <w:spacing w:before="0" w:after="0" w:line="240" w:lineRule="auto"/>
        <w:ind w:left="0" w:firstLine="0"/>
        <w:jc w:val="both"/>
        <w:rPr>
          <w:rFonts w:ascii="Times New Roman" w:hAnsi="Times New Roman"/>
          <w:color w:val="auto"/>
        </w:rPr>
      </w:pPr>
    </w:p>
    <w:p w:rsidR="00FB5145" w:rsidRPr="00C66B91" w:rsidRDefault="00FB5145" w:rsidP="00FB5145">
      <w:pPr>
        <w:pStyle w:val="NormalIndent"/>
        <w:spacing w:after="0"/>
        <w:ind w:left="0"/>
        <w:rPr>
          <w:rFonts w:ascii="Times New Roman" w:hAnsi="Times New Roman"/>
          <w:sz w:val="22"/>
          <w:szCs w:val="22"/>
        </w:rPr>
      </w:pPr>
      <w:r w:rsidRPr="00C66B91">
        <w:rPr>
          <w:rFonts w:ascii="Times New Roman" w:hAnsi="Times New Roman"/>
          <w:sz w:val="22"/>
          <w:szCs w:val="22"/>
        </w:rPr>
        <w:t>When applying the assumed accounting policies, the Group management made the following judgments, besides those that include estimates, which have the most significant effect on the sums recognized in the financial statement:</w:t>
      </w:r>
    </w:p>
    <w:p w:rsidR="00FB5145" w:rsidRPr="00C66B91" w:rsidRDefault="00FB5145" w:rsidP="00FB5145">
      <w:pPr>
        <w:pStyle w:val="NormalIndent"/>
        <w:spacing w:after="0"/>
        <w:ind w:left="0"/>
        <w:rPr>
          <w:rFonts w:ascii="Times New Roman" w:hAnsi="Times New Roman"/>
          <w:sz w:val="22"/>
          <w:szCs w:val="22"/>
        </w:rPr>
      </w:pPr>
    </w:p>
    <w:p w:rsidR="00FB5145" w:rsidRPr="00C66B91" w:rsidRDefault="00FB5145" w:rsidP="00FB5145">
      <w:pPr>
        <w:pStyle w:val="dheader"/>
        <w:spacing w:before="0" w:after="0" w:line="240" w:lineRule="auto"/>
        <w:jc w:val="both"/>
        <w:rPr>
          <w:rFonts w:ascii="Times New Roman" w:hAnsi="Times New Roman"/>
          <w:b/>
          <w:i/>
          <w:color w:val="auto"/>
        </w:rPr>
      </w:pPr>
      <w:r w:rsidRPr="00C66B91">
        <w:rPr>
          <w:rFonts w:ascii="Times New Roman" w:hAnsi="Times New Roman"/>
          <w:b/>
          <w:i/>
          <w:color w:val="auto"/>
        </w:rPr>
        <w:t>Estimates and assumptions</w:t>
      </w:r>
    </w:p>
    <w:p w:rsidR="00FB5145" w:rsidRPr="00C66B91" w:rsidRDefault="00FB5145" w:rsidP="00FB5145">
      <w:pPr>
        <w:pStyle w:val="dheader"/>
        <w:spacing w:before="0" w:after="0" w:line="240" w:lineRule="auto"/>
        <w:jc w:val="both"/>
        <w:rPr>
          <w:rFonts w:ascii="Times New Roman" w:hAnsi="Times New Roman"/>
          <w:color w:val="auto"/>
        </w:rPr>
      </w:pPr>
    </w:p>
    <w:p w:rsidR="00FB5145" w:rsidRPr="00C66B91" w:rsidRDefault="00FB5145" w:rsidP="00FB5145">
      <w:pPr>
        <w:pStyle w:val="NormalIndent"/>
        <w:spacing w:after="0"/>
        <w:ind w:left="0"/>
        <w:rPr>
          <w:rFonts w:ascii="Times New Roman" w:hAnsi="Times New Roman"/>
          <w:sz w:val="22"/>
          <w:szCs w:val="22"/>
        </w:rPr>
      </w:pPr>
      <w:r w:rsidRPr="00C66B91">
        <w:rPr>
          <w:rFonts w:ascii="Times New Roman" w:hAnsi="Times New Roman"/>
          <w:sz w:val="22"/>
          <w:szCs w:val="22"/>
        </w:rPr>
        <w:t>The main assumptions that are associated with future and other major sources of uncertainties in the estimates as at the date of the balance sheet and for which there exists a considerable risk of resulting in material corrections of the carrying amounts of the assets and liabilities during the next reporting period, are specified herein below.</w:t>
      </w:r>
    </w:p>
    <w:p w:rsidR="00FB5145" w:rsidRPr="00C66B91" w:rsidRDefault="00FB5145" w:rsidP="00FB5145">
      <w:pPr>
        <w:pStyle w:val="NormalIndent"/>
        <w:spacing w:after="0"/>
        <w:ind w:left="0"/>
        <w:rPr>
          <w:rFonts w:ascii="Times New Roman" w:hAnsi="Times New Roman"/>
          <w:sz w:val="22"/>
          <w:szCs w:val="22"/>
        </w:rPr>
      </w:pPr>
    </w:p>
    <w:p w:rsidR="00FB5145" w:rsidRPr="00C66B91" w:rsidRDefault="00FB5145" w:rsidP="00FB5145">
      <w:pPr>
        <w:pStyle w:val="italsubhd"/>
        <w:spacing w:before="0" w:line="240" w:lineRule="auto"/>
        <w:jc w:val="both"/>
        <w:rPr>
          <w:rFonts w:ascii="Times New Roman" w:hAnsi="Times New Roman"/>
          <w:noProof w:val="0"/>
          <w:lang w:eastAsia="x-none"/>
        </w:rPr>
      </w:pPr>
      <w:r w:rsidRPr="00C66B91">
        <w:rPr>
          <w:rFonts w:ascii="Times New Roman" w:hAnsi="Times New Roman"/>
          <w:noProof w:val="0"/>
        </w:rPr>
        <w:t>Leases</w:t>
      </w:r>
    </w:p>
    <w:p w:rsidR="00FB5145" w:rsidRPr="00C66B91" w:rsidRDefault="00FB5145" w:rsidP="00FB5145">
      <w:pPr>
        <w:pStyle w:val="NormalIndent"/>
        <w:spacing w:after="0"/>
        <w:ind w:left="0"/>
        <w:rPr>
          <w:rFonts w:ascii="Times New Roman" w:hAnsi="Times New Roman"/>
          <w:sz w:val="22"/>
          <w:szCs w:val="22"/>
        </w:rPr>
      </w:pPr>
    </w:p>
    <w:p w:rsidR="00FB5145" w:rsidRPr="00C66B91" w:rsidRDefault="00FB5145" w:rsidP="00FB5145">
      <w:pPr>
        <w:pStyle w:val="NormalIndent"/>
        <w:spacing w:after="0"/>
        <w:ind w:left="0"/>
        <w:rPr>
          <w:rFonts w:ascii="Times New Roman" w:hAnsi="Times New Roman"/>
          <w:sz w:val="22"/>
          <w:szCs w:val="22"/>
        </w:rPr>
      </w:pPr>
      <w:r w:rsidRPr="00C66B91">
        <w:rPr>
          <w:rFonts w:ascii="Times New Roman" w:hAnsi="Times New Roman"/>
          <w:sz w:val="22"/>
          <w:szCs w:val="22"/>
        </w:rPr>
        <w:t>Pursuant to IAS 17 “Leases” the management classifies the lease agreements for plant, equipment and vehicles as financial lease. In certain cases the lease transaction is not straightforward and the management judges whether the agreement is for financial lease, where substantially all the risks and rewards of ownership over the asset are transferred to the lessee.</w:t>
      </w:r>
    </w:p>
    <w:p w:rsidR="00FB5145" w:rsidRPr="00C66B91" w:rsidRDefault="00FB5145" w:rsidP="00FB5145">
      <w:pPr>
        <w:pStyle w:val="NormalIndent"/>
        <w:spacing w:after="0"/>
        <w:ind w:left="0"/>
        <w:rPr>
          <w:rFonts w:ascii="Times New Roman" w:hAnsi="Times New Roman"/>
          <w:sz w:val="22"/>
          <w:szCs w:val="22"/>
        </w:rPr>
      </w:pPr>
    </w:p>
    <w:p w:rsidR="00FB5145" w:rsidRPr="00C66B91" w:rsidRDefault="00FB5145" w:rsidP="00FB5145">
      <w:pPr>
        <w:pStyle w:val="italsubhd"/>
        <w:spacing w:before="0" w:line="240" w:lineRule="auto"/>
        <w:jc w:val="both"/>
        <w:rPr>
          <w:rFonts w:ascii="Times New Roman" w:hAnsi="Times New Roman"/>
          <w:noProof w:val="0"/>
        </w:rPr>
      </w:pPr>
      <w:r w:rsidRPr="00C66B91">
        <w:rPr>
          <w:rFonts w:ascii="Times New Roman" w:hAnsi="Times New Roman"/>
          <w:noProof w:val="0"/>
        </w:rPr>
        <w:t>Deferred tax assets</w:t>
      </w:r>
    </w:p>
    <w:p w:rsidR="00FB5145" w:rsidRPr="00C66B91" w:rsidRDefault="00FB5145" w:rsidP="00FB5145">
      <w:pPr>
        <w:pStyle w:val="italsubhd"/>
        <w:spacing w:before="0" w:line="240" w:lineRule="auto"/>
        <w:jc w:val="both"/>
        <w:rPr>
          <w:rFonts w:ascii="Times New Roman" w:hAnsi="Times New Roman"/>
          <w:i w:val="0"/>
          <w:noProof w:val="0"/>
        </w:rPr>
      </w:pPr>
    </w:p>
    <w:p w:rsidR="00FB5145" w:rsidRPr="00C66B91" w:rsidRDefault="00FB5145" w:rsidP="00FB5145">
      <w:pPr>
        <w:pStyle w:val="NormalIndent"/>
        <w:spacing w:after="0"/>
        <w:ind w:left="0"/>
        <w:rPr>
          <w:rFonts w:ascii="Times New Roman" w:hAnsi="Times New Roman"/>
          <w:sz w:val="22"/>
          <w:szCs w:val="22"/>
        </w:rPr>
      </w:pPr>
      <w:r w:rsidRPr="00C66B91">
        <w:rPr>
          <w:rFonts w:ascii="Times New Roman" w:hAnsi="Times New Roman"/>
          <w:sz w:val="22"/>
          <w:szCs w:val="22"/>
        </w:rPr>
        <w:t xml:space="preserve">Deferred tax assets are recognized for all unused tax losses to the extent that it is probable that taxable profit will be available against which they could be utilized. The determination of the sum of the deferred tax assets, which shall be recognized, requires the management to make a substantial judgment, based on the expected time of occurring and level of the future taxable profits, as well as of the future Group’s tax planning strategies. </w:t>
      </w:r>
    </w:p>
    <w:p w:rsidR="00FB5145" w:rsidRPr="00C66B91" w:rsidRDefault="00FB5145" w:rsidP="00FB5145">
      <w:pPr>
        <w:pStyle w:val="NormalIndent"/>
        <w:spacing w:after="0"/>
        <w:ind w:left="0"/>
        <w:rPr>
          <w:rFonts w:ascii="Times New Roman" w:hAnsi="Times New Roman"/>
          <w:sz w:val="22"/>
          <w:szCs w:val="22"/>
        </w:rPr>
      </w:pPr>
    </w:p>
    <w:p w:rsidR="00FB5145" w:rsidRPr="00C66B91" w:rsidRDefault="00FB5145" w:rsidP="00FB5145">
      <w:pPr>
        <w:pStyle w:val="italsubhd"/>
        <w:spacing w:before="0" w:line="240" w:lineRule="auto"/>
        <w:jc w:val="both"/>
        <w:rPr>
          <w:rFonts w:ascii="Times New Roman" w:hAnsi="Times New Roman"/>
          <w:noProof w:val="0"/>
          <w:color w:val="auto"/>
        </w:rPr>
      </w:pPr>
      <w:r w:rsidRPr="00C66B91">
        <w:rPr>
          <w:rFonts w:ascii="Times New Roman" w:hAnsi="Times New Roman"/>
          <w:noProof w:val="0"/>
          <w:color w:val="auto"/>
        </w:rPr>
        <w:t>Impairment of non-financial assets</w:t>
      </w:r>
    </w:p>
    <w:p w:rsidR="00FB5145" w:rsidRPr="00C66B91" w:rsidRDefault="00FB5145" w:rsidP="00FB5145">
      <w:pPr>
        <w:pStyle w:val="italsubhd"/>
        <w:spacing w:before="0" w:line="240" w:lineRule="auto"/>
        <w:jc w:val="both"/>
        <w:rPr>
          <w:rFonts w:ascii="Times New Roman" w:hAnsi="Times New Roman"/>
          <w:i w:val="0"/>
          <w:noProof w:val="0"/>
          <w:color w:val="auto"/>
        </w:rPr>
      </w:pPr>
    </w:p>
    <w:p w:rsidR="00FB5145" w:rsidRPr="00C66B91" w:rsidRDefault="00FB5145" w:rsidP="00FB5145">
      <w:pPr>
        <w:pStyle w:val="NormalIndent"/>
        <w:spacing w:after="0"/>
        <w:ind w:left="0"/>
        <w:rPr>
          <w:rFonts w:ascii="Times New Roman" w:hAnsi="Times New Roman"/>
          <w:sz w:val="22"/>
          <w:szCs w:val="22"/>
        </w:rPr>
      </w:pPr>
      <w:r w:rsidRPr="00C66B91">
        <w:rPr>
          <w:rFonts w:ascii="Times New Roman" w:hAnsi="Times New Roman"/>
          <w:sz w:val="22"/>
          <w:szCs w:val="22"/>
        </w:rPr>
        <w:t>As at each reporting date, the Group judges whether there are any signs of impairment for all non-financial assets. The intangible assets with unspecified useful life are checked for impairment on an annual basis and at any other time, if there are such signs. Other non-financial assets are checked for impairment, when there are signs that their carrying amount may not be recoverable.</w:t>
      </w:r>
    </w:p>
    <w:p w:rsidR="00FB5145" w:rsidRPr="00C66B91" w:rsidRDefault="00FB5145" w:rsidP="00FB5145">
      <w:pPr>
        <w:pStyle w:val="NormalIndent"/>
        <w:spacing w:after="0"/>
        <w:ind w:left="0"/>
        <w:rPr>
          <w:rFonts w:ascii="Times New Roman" w:hAnsi="Times New Roman"/>
          <w:sz w:val="22"/>
          <w:szCs w:val="22"/>
        </w:rPr>
      </w:pPr>
    </w:p>
    <w:p w:rsidR="00FB5145" w:rsidRPr="00C66B91" w:rsidRDefault="00FB5145" w:rsidP="00FB5145">
      <w:pPr>
        <w:pStyle w:val="italsubhd"/>
        <w:spacing w:before="0" w:line="240" w:lineRule="auto"/>
        <w:jc w:val="both"/>
        <w:rPr>
          <w:rFonts w:ascii="Times New Roman" w:hAnsi="Times New Roman"/>
          <w:noProof w:val="0"/>
          <w:color w:val="auto"/>
        </w:rPr>
      </w:pPr>
      <w:r w:rsidRPr="00C66B91">
        <w:rPr>
          <w:rFonts w:ascii="Times New Roman" w:hAnsi="Times New Roman"/>
          <w:noProof w:val="0"/>
          <w:color w:val="auto"/>
        </w:rPr>
        <w:t>Useful life of assets subject to amortization</w:t>
      </w:r>
    </w:p>
    <w:p w:rsidR="00FB5145" w:rsidRPr="00C66B91" w:rsidRDefault="00FB5145" w:rsidP="00FB5145">
      <w:pPr>
        <w:pStyle w:val="italsubhd"/>
        <w:spacing w:before="0" w:line="240" w:lineRule="auto"/>
        <w:jc w:val="both"/>
        <w:rPr>
          <w:rFonts w:ascii="Times New Roman" w:hAnsi="Times New Roman"/>
          <w:b/>
          <w:i w:val="0"/>
          <w:noProof w:val="0"/>
          <w:color w:val="auto"/>
        </w:rPr>
      </w:pPr>
    </w:p>
    <w:p w:rsidR="00FB5145" w:rsidRPr="00C66B91" w:rsidRDefault="00FB5145" w:rsidP="00FB5145">
      <w:pPr>
        <w:pStyle w:val="italsubhd"/>
        <w:spacing w:before="0" w:line="240" w:lineRule="auto"/>
        <w:jc w:val="both"/>
        <w:rPr>
          <w:rFonts w:ascii="Times New Roman" w:hAnsi="Times New Roman"/>
          <w:i w:val="0"/>
          <w:noProof w:val="0"/>
          <w:color w:val="auto"/>
        </w:rPr>
      </w:pPr>
      <w:r w:rsidRPr="00C66B91">
        <w:rPr>
          <w:rFonts w:ascii="Times New Roman" w:hAnsi="Times New Roman"/>
          <w:i w:val="0"/>
          <w:noProof w:val="0"/>
          <w:color w:val="auto"/>
        </w:rPr>
        <w:t>The management reassesses the useful life of assets subject to amortization as at the end of each reporting period. The actual useful life may differ from the judgment due to their technical wear and tear and obsolescence, mainly plant and equipment, vehicles, computers and software.</w:t>
      </w:r>
    </w:p>
    <w:p w:rsidR="00FB5145" w:rsidRPr="00C66B91" w:rsidRDefault="00FB5145" w:rsidP="00FB5145">
      <w:pPr>
        <w:pStyle w:val="italsubhd"/>
        <w:spacing w:before="0" w:line="240" w:lineRule="auto"/>
        <w:jc w:val="both"/>
        <w:rPr>
          <w:rFonts w:ascii="Times New Roman" w:hAnsi="Times New Roman"/>
          <w:i w:val="0"/>
          <w:noProof w:val="0"/>
          <w:color w:val="auto"/>
        </w:rPr>
      </w:pPr>
    </w:p>
    <w:p w:rsidR="00FB5145" w:rsidRPr="00C66B91" w:rsidRDefault="00FB5145" w:rsidP="00FB5145">
      <w:pPr>
        <w:pStyle w:val="italsubhd"/>
        <w:spacing w:before="0" w:line="240" w:lineRule="auto"/>
        <w:jc w:val="both"/>
        <w:rPr>
          <w:rFonts w:ascii="Times New Roman" w:hAnsi="Times New Roman"/>
          <w:noProof w:val="0"/>
          <w:color w:val="auto"/>
        </w:rPr>
      </w:pPr>
      <w:r w:rsidRPr="00C66B91">
        <w:rPr>
          <w:rFonts w:ascii="Times New Roman" w:hAnsi="Times New Roman"/>
          <w:noProof w:val="0"/>
          <w:color w:val="auto"/>
        </w:rPr>
        <w:t>Provisions</w:t>
      </w:r>
    </w:p>
    <w:p w:rsidR="00FB5145" w:rsidRPr="00C66B91" w:rsidRDefault="00FB5145" w:rsidP="00FB5145">
      <w:pPr>
        <w:pStyle w:val="italsubhd"/>
        <w:spacing w:before="0" w:line="240" w:lineRule="auto"/>
        <w:jc w:val="both"/>
        <w:rPr>
          <w:rFonts w:ascii="Times New Roman" w:hAnsi="Times New Roman"/>
          <w:b/>
          <w:i w:val="0"/>
          <w:noProof w:val="0"/>
          <w:color w:val="auto"/>
        </w:rPr>
      </w:pPr>
    </w:p>
    <w:p w:rsidR="00FB5145" w:rsidRPr="00C66B91" w:rsidRDefault="00FB5145" w:rsidP="00FB5145">
      <w:pPr>
        <w:pStyle w:val="italsubhd"/>
        <w:spacing w:before="0" w:line="240" w:lineRule="auto"/>
        <w:jc w:val="both"/>
        <w:rPr>
          <w:rFonts w:ascii="Times New Roman" w:hAnsi="Times New Roman"/>
          <w:i w:val="0"/>
          <w:noProof w:val="0"/>
          <w:color w:val="auto"/>
        </w:rPr>
      </w:pPr>
      <w:r w:rsidRPr="00C66B91">
        <w:rPr>
          <w:rFonts w:ascii="Times New Roman" w:hAnsi="Times New Roman"/>
          <w:i w:val="0"/>
          <w:noProof w:val="0"/>
          <w:color w:val="auto"/>
        </w:rPr>
        <w:t>Provisions are accounted for, where there occurs a current judicial, constructive or legal obligation for the Group, resulting from past events, if cash outflows are expected to occur so as to cover the obligation and the sum of the obligation may be determined with sufficient precision. The provisions are reassessed by the management as at the end of each reporting period and their value is corrected, so as to reflect the best estimate.</w:t>
      </w:r>
    </w:p>
    <w:p w:rsidR="00FB5145" w:rsidRPr="00C66B91" w:rsidRDefault="00FB5145" w:rsidP="00FB5145">
      <w:pPr>
        <w:pStyle w:val="italsubhd"/>
        <w:spacing w:before="0" w:line="240" w:lineRule="auto"/>
        <w:jc w:val="both"/>
        <w:rPr>
          <w:rFonts w:ascii="Times New Roman" w:hAnsi="Times New Roman"/>
          <w:i w:val="0"/>
          <w:noProof w:val="0"/>
          <w:color w:val="auto"/>
        </w:rPr>
      </w:pPr>
    </w:p>
    <w:p w:rsidR="00FB5145" w:rsidRPr="00C66B91" w:rsidRDefault="00FB5145" w:rsidP="00FB5145">
      <w:pPr>
        <w:pStyle w:val="italsubhd"/>
        <w:spacing w:before="0" w:line="240" w:lineRule="auto"/>
        <w:jc w:val="both"/>
        <w:rPr>
          <w:rFonts w:ascii="Times New Roman" w:hAnsi="Times New Roman"/>
          <w:noProof w:val="0"/>
          <w:color w:val="auto"/>
        </w:rPr>
      </w:pPr>
      <w:r w:rsidRPr="00C66B91">
        <w:rPr>
          <w:rFonts w:ascii="Times New Roman" w:hAnsi="Times New Roman"/>
          <w:noProof w:val="0"/>
          <w:color w:val="auto"/>
        </w:rPr>
        <w:t>Impairment of receivables</w:t>
      </w:r>
    </w:p>
    <w:p w:rsidR="00FB5145" w:rsidRPr="00C66B91" w:rsidRDefault="00FB5145" w:rsidP="00FB5145">
      <w:pPr>
        <w:jc w:val="both"/>
        <w:rPr>
          <w:bCs/>
          <w:sz w:val="22"/>
          <w:szCs w:val="22"/>
          <w:lang w:val="en-GB"/>
        </w:rPr>
      </w:pPr>
    </w:p>
    <w:p w:rsidR="00FB5145" w:rsidRPr="00C66B91" w:rsidRDefault="00FB5145" w:rsidP="00FB5145">
      <w:pPr>
        <w:pStyle w:val="italsubhd"/>
        <w:spacing w:before="0" w:line="240" w:lineRule="auto"/>
        <w:jc w:val="both"/>
        <w:rPr>
          <w:rFonts w:ascii="Times New Roman" w:hAnsi="Times New Roman"/>
          <w:i w:val="0"/>
          <w:noProof w:val="0"/>
          <w:color w:val="auto"/>
        </w:rPr>
      </w:pPr>
      <w:r w:rsidRPr="00C66B91">
        <w:rPr>
          <w:rFonts w:ascii="Times New Roman" w:hAnsi="Times New Roman"/>
          <w:i w:val="0"/>
          <w:noProof w:val="0"/>
          <w:color w:val="auto"/>
        </w:rPr>
        <w:t>When preparing this financial statement, the management, based on its past experience, made an estimate of the impairment of the trade receivables.</w:t>
      </w:r>
    </w:p>
    <w:p w:rsidR="00FB5145" w:rsidRPr="00C66B91" w:rsidRDefault="00FB5145" w:rsidP="00FB5145">
      <w:pPr>
        <w:pStyle w:val="italsubhd"/>
        <w:spacing w:before="0" w:line="240" w:lineRule="auto"/>
        <w:jc w:val="both"/>
        <w:rPr>
          <w:rFonts w:ascii="Times New Roman" w:hAnsi="Times New Roman"/>
          <w:i w:val="0"/>
          <w:noProof w:val="0"/>
          <w:color w:val="auto"/>
        </w:rPr>
      </w:pPr>
    </w:p>
    <w:p w:rsidR="00FB5145" w:rsidRPr="00C66B91" w:rsidRDefault="00FB5145" w:rsidP="00FB5145">
      <w:pPr>
        <w:pStyle w:val="italsubhd"/>
        <w:spacing w:before="0" w:line="240" w:lineRule="auto"/>
        <w:jc w:val="both"/>
        <w:rPr>
          <w:rFonts w:ascii="Times New Roman" w:hAnsi="Times New Roman"/>
          <w:noProof w:val="0"/>
          <w:color w:val="auto"/>
        </w:rPr>
      </w:pPr>
      <w:r w:rsidRPr="00C66B91">
        <w:rPr>
          <w:rFonts w:ascii="Times New Roman" w:hAnsi="Times New Roman"/>
          <w:noProof w:val="0"/>
          <w:color w:val="auto"/>
        </w:rPr>
        <w:t>Impairment of inventories</w:t>
      </w:r>
    </w:p>
    <w:p w:rsidR="00FB5145" w:rsidRPr="00C66B91" w:rsidRDefault="00FB5145" w:rsidP="00FB5145">
      <w:pPr>
        <w:pStyle w:val="italsubhd"/>
        <w:spacing w:before="0" w:line="240" w:lineRule="auto"/>
        <w:jc w:val="both"/>
        <w:rPr>
          <w:rFonts w:ascii="Times New Roman" w:hAnsi="Times New Roman"/>
          <w:noProof w:val="0"/>
          <w:color w:val="auto"/>
        </w:rPr>
      </w:pPr>
    </w:p>
    <w:p w:rsidR="00FB5145" w:rsidRPr="00C66B91" w:rsidRDefault="00FB5145" w:rsidP="00FB5145">
      <w:pPr>
        <w:pStyle w:val="italsubhd"/>
        <w:spacing w:before="0" w:line="240" w:lineRule="auto"/>
        <w:jc w:val="both"/>
        <w:rPr>
          <w:rFonts w:ascii="Times New Roman" w:hAnsi="Times New Roman"/>
          <w:i w:val="0"/>
          <w:noProof w:val="0"/>
          <w:color w:val="auto"/>
        </w:rPr>
      </w:pPr>
      <w:r w:rsidRPr="00C66B91">
        <w:rPr>
          <w:rFonts w:ascii="Times New Roman" w:hAnsi="Times New Roman"/>
          <w:i w:val="0"/>
          <w:noProof w:val="0"/>
          <w:color w:val="auto"/>
        </w:rPr>
        <w:t>In the end of each financial year, the Group companies carry out a review of the condition, the shelf-life and the usability of the available inventories. If there are found inventories, which may potentially not be realized at their current carrying amount in the subsequent reporting periods, the Group companies impair the inventories to their net realizable value.</w:t>
      </w:r>
    </w:p>
    <w:p w:rsidR="00FB5145" w:rsidRPr="00C66B91" w:rsidRDefault="00FB5145" w:rsidP="00FB5145">
      <w:pPr>
        <w:pStyle w:val="italsubhd"/>
        <w:spacing w:before="0" w:line="240" w:lineRule="auto"/>
        <w:jc w:val="both"/>
        <w:rPr>
          <w:rFonts w:ascii="Times New Roman" w:hAnsi="Times New Roman"/>
          <w:i w:val="0"/>
          <w:noProof w:val="0"/>
          <w:color w:val="auto"/>
        </w:rPr>
      </w:pPr>
    </w:p>
    <w:p w:rsidR="00FB5145" w:rsidRPr="00C66B91" w:rsidRDefault="00FB5145" w:rsidP="00FB5145">
      <w:pPr>
        <w:pStyle w:val="italsubhd"/>
        <w:spacing w:before="0" w:line="240" w:lineRule="auto"/>
        <w:jc w:val="both"/>
        <w:rPr>
          <w:rFonts w:ascii="Times New Roman" w:hAnsi="Times New Roman"/>
          <w:noProof w:val="0"/>
          <w:color w:val="auto"/>
        </w:rPr>
      </w:pPr>
      <w:r w:rsidRPr="00C66B91">
        <w:rPr>
          <w:rFonts w:ascii="Times New Roman" w:hAnsi="Times New Roman"/>
          <w:noProof w:val="0"/>
          <w:color w:val="auto"/>
        </w:rPr>
        <w:t>Actuarial calculations</w:t>
      </w:r>
    </w:p>
    <w:p w:rsidR="00FB5145" w:rsidRPr="00C66B91" w:rsidRDefault="00FB5145" w:rsidP="00FB5145">
      <w:pPr>
        <w:pStyle w:val="italsubhd"/>
        <w:spacing w:before="0" w:line="240" w:lineRule="auto"/>
        <w:jc w:val="both"/>
        <w:rPr>
          <w:rFonts w:ascii="Times New Roman" w:hAnsi="Times New Roman"/>
          <w:noProof w:val="0"/>
          <w:color w:val="auto"/>
        </w:rPr>
      </w:pPr>
    </w:p>
    <w:p w:rsidR="00FB5145" w:rsidRPr="00C66B91" w:rsidRDefault="00FB5145" w:rsidP="00FB5145">
      <w:pPr>
        <w:pStyle w:val="italsubhd"/>
        <w:spacing w:before="0" w:line="240" w:lineRule="auto"/>
        <w:jc w:val="both"/>
        <w:rPr>
          <w:rFonts w:ascii="Times New Roman" w:hAnsi="Times New Roman"/>
          <w:i w:val="0"/>
          <w:noProof w:val="0"/>
          <w:color w:val="auto"/>
        </w:rPr>
      </w:pPr>
      <w:r w:rsidRPr="00C66B91">
        <w:rPr>
          <w:rFonts w:ascii="Times New Roman" w:hAnsi="Times New Roman"/>
          <w:i w:val="0"/>
          <w:noProof w:val="0"/>
          <w:color w:val="auto"/>
        </w:rPr>
        <w:t>In determining the present value of the long-term payables to the staff upon retirement, each year there are used calculations of certified actuaries, based on the assumptions of death rate, staff turnover rate, future level of salaries and discount rate.</w:t>
      </w:r>
    </w:p>
    <w:p w:rsidR="00FB5145" w:rsidRPr="00C66B91" w:rsidRDefault="00FB5145" w:rsidP="00FB5145">
      <w:pPr>
        <w:pStyle w:val="italsubhd"/>
        <w:spacing w:before="0" w:line="240" w:lineRule="auto"/>
        <w:jc w:val="both"/>
        <w:rPr>
          <w:rFonts w:ascii="Times New Roman" w:hAnsi="Times New Roman"/>
          <w:i w:val="0"/>
          <w:noProof w:val="0"/>
          <w:color w:val="auto"/>
        </w:rPr>
      </w:pPr>
    </w:p>
    <w:p w:rsidR="00FB5145" w:rsidRPr="00C66B91" w:rsidRDefault="00FB5145" w:rsidP="00FB5145">
      <w:pPr>
        <w:pStyle w:val="italsubhd"/>
        <w:spacing w:before="0" w:line="240" w:lineRule="auto"/>
        <w:jc w:val="both"/>
        <w:rPr>
          <w:rFonts w:ascii="Times New Roman" w:hAnsi="Times New Roman"/>
          <w:noProof w:val="0"/>
          <w:color w:val="auto"/>
        </w:rPr>
      </w:pPr>
      <w:r w:rsidRPr="00C66B91">
        <w:rPr>
          <w:rFonts w:ascii="Times New Roman" w:hAnsi="Times New Roman"/>
          <w:noProof w:val="0"/>
          <w:color w:val="auto"/>
        </w:rPr>
        <w:t>Business combinations</w:t>
      </w:r>
    </w:p>
    <w:p w:rsidR="00FB5145" w:rsidRPr="00C66B91" w:rsidRDefault="00FB5145" w:rsidP="00FB5145">
      <w:pPr>
        <w:pStyle w:val="italsubhd"/>
        <w:spacing w:before="0" w:line="240" w:lineRule="auto"/>
        <w:jc w:val="both"/>
        <w:rPr>
          <w:rFonts w:ascii="Times New Roman" w:hAnsi="Times New Roman"/>
          <w:noProof w:val="0"/>
          <w:color w:val="auto"/>
        </w:rPr>
      </w:pPr>
    </w:p>
    <w:p w:rsidR="00FB5145" w:rsidRPr="00C66B91" w:rsidRDefault="00FB5145" w:rsidP="00FB5145">
      <w:pPr>
        <w:pStyle w:val="italsubhd"/>
        <w:spacing w:before="0" w:line="240" w:lineRule="auto"/>
        <w:jc w:val="both"/>
        <w:rPr>
          <w:rFonts w:ascii="Times New Roman" w:hAnsi="Times New Roman"/>
          <w:i w:val="0"/>
          <w:noProof w:val="0"/>
          <w:color w:val="auto"/>
        </w:rPr>
      </w:pPr>
      <w:r w:rsidRPr="00C66B91">
        <w:rPr>
          <w:rFonts w:ascii="Times New Roman" w:hAnsi="Times New Roman"/>
          <w:i w:val="0"/>
          <w:noProof w:val="0"/>
          <w:color w:val="auto"/>
        </w:rPr>
        <w:t>Upon their initial recognition, the assets and the liabilities of the acquired business are included in the consolidated statement of financial position at their fair value. For the calculation of the fair value, the management uses judgments of the future cash flows and discount rates, which however may differ from the actual results. All changes in the judgment after the initial recognition would affect the value of the goodwill.</w:t>
      </w:r>
    </w:p>
    <w:p w:rsidR="00FB5145" w:rsidRPr="00C66B91" w:rsidRDefault="00FB5145" w:rsidP="00FB5145">
      <w:pPr>
        <w:jc w:val="both"/>
        <w:rPr>
          <w:bCs/>
          <w:sz w:val="22"/>
          <w:szCs w:val="22"/>
          <w:lang w:val="en-GB"/>
        </w:rPr>
      </w:pPr>
    </w:p>
    <w:p w:rsidR="00FB5145" w:rsidRPr="00C66B91" w:rsidRDefault="00FB5145" w:rsidP="00FB5145">
      <w:pPr>
        <w:pStyle w:val="italsubhd"/>
        <w:spacing w:before="0" w:line="240" w:lineRule="auto"/>
        <w:jc w:val="both"/>
        <w:rPr>
          <w:rFonts w:ascii="Times New Roman" w:hAnsi="Times New Roman"/>
          <w:b/>
          <w:i w:val="0"/>
          <w:noProof w:val="0"/>
          <w:color w:val="auto"/>
        </w:rPr>
      </w:pPr>
      <w:r w:rsidRPr="00C66B91">
        <w:rPr>
          <w:rFonts w:ascii="Times New Roman" w:hAnsi="Times New Roman"/>
          <w:b/>
          <w:i w:val="0"/>
          <w:noProof w:val="0"/>
          <w:color w:val="auto"/>
        </w:rPr>
        <w:t>2.3 Summary of the significant accounting policies</w:t>
      </w:r>
    </w:p>
    <w:p w:rsidR="00FB5145" w:rsidRPr="00C66B91" w:rsidRDefault="00FB5145" w:rsidP="00FB5145">
      <w:pPr>
        <w:jc w:val="both"/>
        <w:rPr>
          <w:bCs/>
          <w:sz w:val="22"/>
          <w:szCs w:val="22"/>
          <w:lang w:val="en-GB"/>
        </w:rPr>
      </w:pPr>
    </w:p>
    <w:p w:rsidR="00FB5145" w:rsidRPr="00C66B91" w:rsidRDefault="00FB5145" w:rsidP="00FB5145">
      <w:pPr>
        <w:jc w:val="both"/>
        <w:rPr>
          <w:b/>
          <w:bCs/>
          <w:sz w:val="22"/>
          <w:szCs w:val="22"/>
          <w:lang w:val="en-GB"/>
        </w:rPr>
      </w:pPr>
      <w:r w:rsidRPr="00C66B91">
        <w:rPr>
          <w:b/>
          <w:bCs/>
          <w:sz w:val="22"/>
          <w:szCs w:val="22"/>
          <w:lang w:val="en-GB"/>
        </w:rPr>
        <w:t>Transactions in foreign currency</w:t>
      </w:r>
    </w:p>
    <w:p w:rsidR="00FB5145" w:rsidRPr="00C66B91" w:rsidRDefault="00FB5145" w:rsidP="00FB5145">
      <w:pPr>
        <w:jc w:val="both"/>
        <w:rPr>
          <w:b/>
          <w:bCs/>
          <w:sz w:val="22"/>
          <w:szCs w:val="22"/>
          <w:lang w:val="en-GB"/>
        </w:rPr>
      </w:pPr>
    </w:p>
    <w:p w:rsidR="00FB5145" w:rsidRPr="00C66B91" w:rsidRDefault="00FB5145" w:rsidP="00FB5145">
      <w:pPr>
        <w:jc w:val="both"/>
        <w:rPr>
          <w:b/>
          <w:i/>
          <w:iCs/>
          <w:spacing w:val="-2"/>
          <w:sz w:val="22"/>
          <w:szCs w:val="22"/>
          <w:lang w:val="en-GB"/>
        </w:rPr>
      </w:pPr>
      <w:r w:rsidRPr="00C66B91">
        <w:rPr>
          <w:b/>
          <w:i/>
          <w:iCs/>
          <w:spacing w:val="-2"/>
          <w:sz w:val="22"/>
          <w:szCs w:val="22"/>
          <w:lang w:val="en-GB"/>
        </w:rPr>
        <w:t>Functional currency and currency of presentation</w:t>
      </w:r>
    </w:p>
    <w:p w:rsidR="00FB5145" w:rsidRPr="00C66B91" w:rsidRDefault="00FB5145" w:rsidP="00FB5145">
      <w:pPr>
        <w:jc w:val="both"/>
        <w:rPr>
          <w:b/>
          <w:iCs/>
          <w:spacing w:val="-2"/>
          <w:sz w:val="22"/>
          <w:szCs w:val="22"/>
          <w:lang w:val="en-GB"/>
        </w:rPr>
      </w:pPr>
    </w:p>
    <w:p w:rsidR="00FB5145" w:rsidRPr="00C66B91" w:rsidRDefault="00FB5145" w:rsidP="00FB5145">
      <w:pPr>
        <w:jc w:val="both"/>
        <w:rPr>
          <w:sz w:val="22"/>
          <w:szCs w:val="22"/>
          <w:lang w:val="en-GB"/>
        </w:rPr>
      </w:pPr>
      <w:r w:rsidRPr="00C66B91">
        <w:rPr>
          <w:sz w:val="22"/>
          <w:szCs w:val="22"/>
          <w:lang w:val="en-GB"/>
        </w:rPr>
        <w:t>The individual components of the financial statements of the Group are measured in the currency of the main economic environment, wherein the company is pursuing its activity (“functional currency”).</w:t>
      </w:r>
    </w:p>
    <w:p w:rsidR="00FB5145" w:rsidRPr="00C66B91" w:rsidRDefault="00FB5145" w:rsidP="00FB5145">
      <w:pPr>
        <w:jc w:val="both"/>
        <w:rPr>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annual financial statement is presented in thousand BGN, which is the functional currency and the currency of presentation. BGN is fixed to the euro (EUR) through the currency board mechanism, introduced in the Republic of Bulgaria on 1 January 1999.</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For the purposes of each consolidated financial statement, the financial statements of the non-resident subsidiary companies are recalculated from the functional currency of the relevant non-resident subsidiary company to the presentation currency (BGN) used in the consolidated financial statement, where: </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a) all assets and liabilities are recalculated to the Group currency at the closing exchange rate of the local currency to it as at 31 December; </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b) all revenue and cost items are recalculated to the Group currency at the average exchange rate of the local currency to it for the period of the statement.</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The goodwill and the adjustments to the fair values, occurring upon the acquisition of a non-resident (foreign) company, are treated by analogy to the assets and liabilities of such company and are recalculated to the presentation currency at the closing exchange rate. </w:t>
      </w:r>
    </w:p>
    <w:p w:rsidR="00FB5145" w:rsidRPr="00C66B91" w:rsidRDefault="00FB5145" w:rsidP="00FB5145">
      <w:pPr>
        <w:jc w:val="both"/>
        <w:rPr>
          <w:sz w:val="22"/>
          <w:szCs w:val="22"/>
          <w:lang w:val="en-GB"/>
        </w:rPr>
      </w:pPr>
    </w:p>
    <w:p w:rsidR="00FB5145" w:rsidRPr="00C66B91" w:rsidRDefault="00FB5145" w:rsidP="00FB5145">
      <w:pPr>
        <w:jc w:val="both"/>
        <w:rPr>
          <w:b/>
          <w:i/>
          <w:iCs/>
          <w:spacing w:val="-2"/>
          <w:sz w:val="22"/>
          <w:szCs w:val="22"/>
          <w:lang w:val="en-GB"/>
        </w:rPr>
      </w:pPr>
      <w:r w:rsidRPr="00C66B91">
        <w:rPr>
          <w:b/>
          <w:i/>
          <w:iCs/>
          <w:spacing w:val="-2"/>
          <w:sz w:val="22"/>
          <w:szCs w:val="22"/>
          <w:lang w:val="en-GB"/>
        </w:rPr>
        <w:t>Transactions and balances</w:t>
      </w:r>
    </w:p>
    <w:p w:rsidR="00FB5145" w:rsidRPr="00C66B91" w:rsidRDefault="00FB5145" w:rsidP="00FB5145">
      <w:pPr>
        <w:jc w:val="both"/>
        <w:rPr>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The transactions in foreign currency are transformed into the functional currency, applying the official exchange rate for the relevant day. The profits and losses from changes in the exchange rates, resulting </w:t>
      </w:r>
      <w:r w:rsidRPr="00C66B91">
        <w:rPr>
          <w:bCs/>
          <w:sz w:val="22"/>
          <w:szCs w:val="22"/>
          <w:lang w:val="en-GB"/>
        </w:rPr>
        <w:lastRenderedPageBreak/>
        <w:t>from payments under transactions in foreign currency, as well as from revaluation of the assets and liabilities that are denominated in a foreign currency at the closing exchange rate, are recognized in the income statement.</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monetary assets and liabilities in foreign currency are accounted for at the closing exchange rate of BNB as at the date of the balance sheet. As at 31 December 2014, EUR 1 = BGN 1.95583. (31 December 2013: EUR 1 = BGN 1.95583)</w:t>
      </w:r>
    </w:p>
    <w:p w:rsidR="00FB5145" w:rsidRPr="00C66B91" w:rsidRDefault="00FB5145" w:rsidP="00FB5145">
      <w:pPr>
        <w:jc w:val="both"/>
        <w:rPr>
          <w:bCs/>
          <w:sz w:val="22"/>
          <w:szCs w:val="22"/>
          <w:lang w:val="en-GB"/>
        </w:rPr>
      </w:pPr>
    </w:p>
    <w:p w:rsidR="00FB5145" w:rsidRPr="00C66B91" w:rsidRDefault="00FB5145" w:rsidP="00FB5145">
      <w:pPr>
        <w:jc w:val="both"/>
        <w:rPr>
          <w:b/>
          <w:iCs/>
          <w:spacing w:val="-2"/>
          <w:sz w:val="22"/>
          <w:szCs w:val="22"/>
          <w:lang w:val="en-GB"/>
        </w:rPr>
      </w:pPr>
      <w:r w:rsidRPr="00C66B91">
        <w:rPr>
          <w:b/>
          <w:iCs/>
          <w:spacing w:val="-2"/>
          <w:sz w:val="22"/>
          <w:szCs w:val="22"/>
          <w:lang w:val="en-GB"/>
        </w:rPr>
        <w:t>Property, plant and equipment</w:t>
      </w:r>
    </w:p>
    <w:p w:rsidR="00FB5145" w:rsidRPr="00C66B91" w:rsidRDefault="00FB5145" w:rsidP="00FB5145">
      <w:pPr>
        <w:rPr>
          <w:b/>
          <w:bCs/>
          <w:spacing w:val="8"/>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items of property, plant and equipment are initially accounted for at acquisition cost, including the purchase price, customs duties and unrecoverable taxes, as well as all direct costs needed to bring the asset to its current condition and location.</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subsequent valuation of property, plant and equipment is carried out at acquisition cost, reduced by the accrued amortizations and the potential impairment losses.</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assets are amortized as of the date of acquisition or commissioning. The amortization accrues using the straight-line method over the estimated useful life of the assets, so as to distribute the difference between the carrying amount and the residual value over the useful life of the assets, as follows:</w:t>
      </w:r>
    </w:p>
    <w:p w:rsidR="00FB5145" w:rsidRPr="00C66B91" w:rsidRDefault="00FB5145" w:rsidP="00FB5145">
      <w:pPr>
        <w:jc w:val="both"/>
        <w:rPr>
          <w:bCs/>
          <w:sz w:val="22"/>
          <w:szCs w:val="22"/>
          <w:lang w:val="en-GB"/>
        </w:rPr>
      </w:pPr>
    </w:p>
    <w:p w:rsidR="00FB5145" w:rsidRPr="00C66B91" w:rsidRDefault="00FB5145" w:rsidP="00FB5145">
      <w:pPr>
        <w:pStyle w:val="bullet"/>
        <w:numPr>
          <w:ilvl w:val="0"/>
          <w:numId w:val="36"/>
        </w:numPr>
        <w:tabs>
          <w:tab w:val="left" w:pos="3555"/>
        </w:tabs>
        <w:rPr>
          <w:sz w:val="22"/>
          <w:szCs w:val="22"/>
        </w:rPr>
      </w:pPr>
      <w:r w:rsidRPr="00C66B91">
        <w:rPr>
          <w:sz w:val="22"/>
          <w:szCs w:val="22"/>
        </w:rPr>
        <w:t>Plant and equipment</w:t>
      </w:r>
      <w:r w:rsidRPr="00C66B91">
        <w:rPr>
          <w:sz w:val="22"/>
          <w:szCs w:val="22"/>
        </w:rPr>
        <w:tab/>
        <w:t xml:space="preserve">              3.3 years</w:t>
      </w:r>
    </w:p>
    <w:p w:rsidR="00FB5145" w:rsidRPr="00C66B91" w:rsidRDefault="00FB5145" w:rsidP="00FB5145">
      <w:pPr>
        <w:pStyle w:val="bullet"/>
        <w:numPr>
          <w:ilvl w:val="0"/>
          <w:numId w:val="36"/>
        </w:numPr>
        <w:tabs>
          <w:tab w:val="left" w:pos="3555"/>
        </w:tabs>
        <w:rPr>
          <w:sz w:val="22"/>
          <w:szCs w:val="22"/>
        </w:rPr>
      </w:pPr>
      <w:r w:rsidRPr="00C66B91">
        <w:rPr>
          <w:sz w:val="22"/>
          <w:szCs w:val="22"/>
        </w:rPr>
        <w:t>Computers</w:t>
      </w:r>
      <w:r w:rsidRPr="00C66B91">
        <w:rPr>
          <w:sz w:val="22"/>
          <w:szCs w:val="22"/>
        </w:rPr>
        <w:tab/>
        <w:t xml:space="preserve">                 2 years</w:t>
      </w:r>
    </w:p>
    <w:p w:rsidR="00FB5145" w:rsidRPr="00C66B91" w:rsidRDefault="00FB5145" w:rsidP="00FB5145">
      <w:pPr>
        <w:pStyle w:val="bullet"/>
        <w:numPr>
          <w:ilvl w:val="0"/>
          <w:numId w:val="36"/>
        </w:numPr>
        <w:tabs>
          <w:tab w:val="left" w:pos="3555"/>
        </w:tabs>
        <w:rPr>
          <w:sz w:val="22"/>
          <w:szCs w:val="22"/>
        </w:rPr>
      </w:pPr>
      <w:r w:rsidRPr="00C66B91">
        <w:rPr>
          <w:sz w:val="22"/>
          <w:szCs w:val="22"/>
        </w:rPr>
        <w:t xml:space="preserve">Vehicles </w:t>
      </w:r>
      <w:r w:rsidRPr="00C66B91">
        <w:rPr>
          <w:sz w:val="22"/>
          <w:szCs w:val="22"/>
        </w:rPr>
        <w:tab/>
        <w:t xml:space="preserve">                 5 years</w:t>
      </w:r>
    </w:p>
    <w:p w:rsidR="00FB5145" w:rsidRPr="00C66B91" w:rsidRDefault="00FB5145" w:rsidP="00FB5145">
      <w:pPr>
        <w:widowControl w:val="0"/>
        <w:numPr>
          <w:ilvl w:val="0"/>
          <w:numId w:val="36"/>
        </w:numPr>
        <w:autoSpaceDE w:val="0"/>
        <w:autoSpaceDN w:val="0"/>
        <w:jc w:val="both"/>
        <w:rPr>
          <w:bCs/>
          <w:sz w:val="22"/>
          <w:szCs w:val="22"/>
          <w:lang w:val="en-GB"/>
        </w:rPr>
      </w:pPr>
      <w:r w:rsidRPr="00C66B91">
        <w:rPr>
          <w:sz w:val="22"/>
          <w:szCs w:val="22"/>
          <w:lang w:val="en-GB"/>
        </w:rPr>
        <w:t>Fittings and fixtures</w:t>
      </w:r>
      <w:r w:rsidRPr="00C66B91">
        <w:rPr>
          <w:sz w:val="22"/>
          <w:szCs w:val="22"/>
          <w:lang w:val="en-GB"/>
        </w:rPr>
        <w:tab/>
        <w:t xml:space="preserve">                                     6.7 years</w:t>
      </w:r>
    </w:p>
    <w:p w:rsidR="00FB5145" w:rsidRPr="00C66B91" w:rsidRDefault="00FB5145" w:rsidP="00FB5145">
      <w:pPr>
        <w:rPr>
          <w:lang w:val="en-GB"/>
        </w:rPr>
      </w:pPr>
    </w:p>
    <w:p w:rsidR="00FB5145" w:rsidRPr="00C66B91" w:rsidRDefault="00FB5145" w:rsidP="00FB5145">
      <w:pPr>
        <w:jc w:val="both"/>
        <w:rPr>
          <w:bCs/>
          <w:sz w:val="22"/>
          <w:szCs w:val="22"/>
          <w:lang w:val="en-GB"/>
        </w:rPr>
      </w:pPr>
      <w:r w:rsidRPr="00C66B91">
        <w:rPr>
          <w:bCs/>
          <w:sz w:val="22"/>
          <w:szCs w:val="22"/>
          <w:lang w:val="en-GB"/>
        </w:rPr>
        <w:t>The residual value and the useful life of the assets are subject to a review and, if necessary, there are made the relevant adjustments as at each date of preparation of the financial statements.</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When the carrying amount is higher than the recoverable amount, the fixed tangible asset is accounted for at its recoverable amount.</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The profits and losses resulting from derecognizing of assets are determined by comparing the proceeds and the carrying amount and are accounted for in the statement of comprehensive income. </w:t>
      </w:r>
    </w:p>
    <w:p w:rsidR="00FB5145" w:rsidRPr="00C66B91" w:rsidRDefault="00FB5145" w:rsidP="00FB5145">
      <w:pPr>
        <w:rPr>
          <w:lang w:val="en-GB"/>
        </w:rPr>
      </w:pPr>
    </w:p>
    <w:p w:rsidR="00FB5145" w:rsidRPr="00C66B91" w:rsidRDefault="00FB5145" w:rsidP="00FB5145">
      <w:pPr>
        <w:jc w:val="both"/>
        <w:rPr>
          <w:b/>
          <w:iCs/>
          <w:spacing w:val="-2"/>
          <w:sz w:val="22"/>
          <w:szCs w:val="22"/>
          <w:lang w:val="en-GB"/>
        </w:rPr>
      </w:pPr>
      <w:r w:rsidRPr="00C66B91">
        <w:rPr>
          <w:b/>
          <w:iCs/>
          <w:spacing w:val="-2"/>
          <w:sz w:val="22"/>
          <w:szCs w:val="22"/>
          <w:lang w:val="en-GB"/>
        </w:rPr>
        <w:t>Intangible assets</w:t>
      </w:r>
    </w:p>
    <w:p w:rsidR="00FB5145" w:rsidRPr="00C66B91" w:rsidRDefault="00FB5145" w:rsidP="00FB5145">
      <w:pPr>
        <w:rPr>
          <w:b/>
          <w:bCs/>
          <w:spacing w:val="8"/>
          <w:sz w:val="22"/>
          <w:szCs w:val="22"/>
          <w:lang w:val="en-GB"/>
        </w:rPr>
      </w:pPr>
    </w:p>
    <w:p w:rsidR="00FB5145" w:rsidRPr="00C66B91" w:rsidRDefault="00FB5145" w:rsidP="00FB5145">
      <w:pPr>
        <w:jc w:val="both"/>
        <w:rPr>
          <w:b/>
          <w:i/>
          <w:iCs/>
          <w:spacing w:val="-2"/>
          <w:sz w:val="22"/>
          <w:szCs w:val="22"/>
          <w:lang w:val="en-GB"/>
        </w:rPr>
      </w:pPr>
      <w:r w:rsidRPr="00C66B91">
        <w:rPr>
          <w:b/>
          <w:i/>
          <w:iCs/>
          <w:spacing w:val="-2"/>
          <w:sz w:val="22"/>
          <w:szCs w:val="22"/>
          <w:lang w:val="en-GB"/>
        </w:rPr>
        <w:t>Software</w:t>
      </w:r>
    </w:p>
    <w:p w:rsidR="00FB5145" w:rsidRPr="00C66B91" w:rsidRDefault="00FB5145" w:rsidP="00FB5145">
      <w:pPr>
        <w:jc w:val="both"/>
        <w:rPr>
          <w:b/>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software is accounted for at historic cost. It is amortized using the straight-line method for a term of 2 years.</w:t>
      </w:r>
    </w:p>
    <w:p w:rsidR="00FB5145" w:rsidRPr="00C66B91" w:rsidRDefault="00FB5145" w:rsidP="00FB5145">
      <w:pPr>
        <w:jc w:val="both"/>
        <w:rPr>
          <w:b/>
          <w:bCs/>
          <w:sz w:val="22"/>
          <w:szCs w:val="22"/>
          <w:lang w:val="en-GB"/>
        </w:rPr>
      </w:pPr>
    </w:p>
    <w:p w:rsidR="00FB5145" w:rsidRPr="00C66B91" w:rsidRDefault="00FB5145" w:rsidP="00FB5145">
      <w:pPr>
        <w:jc w:val="both"/>
        <w:rPr>
          <w:b/>
          <w:iCs/>
          <w:spacing w:val="-2"/>
          <w:sz w:val="22"/>
          <w:szCs w:val="22"/>
          <w:lang w:val="en-GB"/>
        </w:rPr>
      </w:pPr>
      <w:r w:rsidRPr="00C66B91">
        <w:rPr>
          <w:b/>
          <w:iCs/>
          <w:spacing w:val="-2"/>
          <w:sz w:val="22"/>
          <w:szCs w:val="22"/>
          <w:lang w:val="en-GB"/>
        </w:rPr>
        <w:t>Impairment of non-financial assets</w:t>
      </w:r>
    </w:p>
    <w:p w:rsidR="00FB5145" w:rsidRPr="00C66B91" w:rsidRDefault="00FB5145" w:rsidP="00FB5145">
      <w:pPr>
        <w:rPr>
          <w:b/>
          <w:spacing w:val="-1"/>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Assets with unspecified useful life are not amortized, but are checked for signs of impairment on annual basis. The assets which are subject to amortization are reviewed for signs of impairment, when there occur events or there is a change in the circumstances, suggesting that the carrying amount of the assets is not recoverable. Impairment loss is recognized to the amount, by which the carrying amount exceeds the recoverable amount. </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recoverable amount is the higher of the net sales value and the value in use. For the purposes of determining the value in use, the assets are grouped into the smallest possible identifiable cash-generating units. The non-financial assets, other than positive goodwill, which are subject to impairment, are reviewed for signs of the need of impairment as at each reporting date.</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As at each balance sheet date, the impaired non-financial assets during the past periods, other than positive goodwill, are subject to a review for potential reintegration of the impairment losses.</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For the purposes of the impairment test, the assets are grouped at the lowest levels, for which a cash-generating unit can be identified.</w:t>
      </w:r>
    </w:p>
    <w:p w:rsidR="00FB5145" w:rsidRPr="00C66B91" w:rsidRDefault="00FB5145" w:rsidP="00FB5145">
      <w:pPr>
        <w:jc w:val="both"/>
        <w:rPr>
          <w:bCs/>
          <w:sz w:val="22"/>
          <w:szCs w:val="22"/>
          <w:lang w:val="en-GB"/>
        </w:rPr>
      </w:pPr>
    </w:p>
    <w:p w:rsidR="00FB5145" w:rsidRPr="00C66B91" w:rsidRDefault="00FB5145" w:rsidP="00FB5145">
      <w:pPr>
        <w:rPr>
          <w:b/>
          <w:spacing w:val="-1"/>
          <w:sz w:val="22"/>
          <w:szCs w:val="22"/>
          <w:lang w:val="en-GB"/>
        </w:rPr>
      </w:pPr>
      <w:r w:rsidRPr="00C66B91">
        <w:rPr>
          <w:b/>
          <w:spacing w:val="-1"/>
          <w:sz w:val="22"/>
          <w:szCs w:val="22"/>
          <w:lang w:val="en-GB"/>
        </w:rPr>
        <w:t>Inventories</w:t>
      </w:r>
    </w:p>
    <w:p w:rsidR="00FB5145" w:rsidRPr="00C66B91" w:rsidRDefault="00FB5145" w:rsidP="00FB5145">
      <w:pPr>
        <w:rPr>
          <w:b/>
          <w:bCs/>
          <w:spacing w:val="8"/>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inventories consist of materials and goods. The cost of inventories includes the direct costs for their purchasing or production, the processing and other direct costs, related to their delivery. As at the end of each reporting period, the inventories are measured at the lower of their cost and their net realizable value. The amount of the impairment of inventories to their net realizable value is recognized as cost for the period of the impairment.</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net realizable value is the expected sales price of the inventories, reduced by the expected costs for completion and sale.</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method of the weighted average price (cost) is used in case of use (sale) of materials and goods.</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In case of sale of inventories, their carrying amount is recognized as cost during the period, when the relevant revenue is recognized.</w:t>
      </w:r>
    </w:p>
    <w:p w:rsidR="00FB5145" w:rsidRPr="00C66B91" w:rsidRDefault="00FB5145" w:rsidP="00FB5145">
      <w:pPr>
        <w:jc w:val="both"/>
        <w:rPr>
          <w:b/>
          <w:bCs/>
          <w:sz w:val="22"/>
          <w:szCs w:val="22"/>
          <w:lang w:val="en-GB"/>
        </w:rPr>
      </w:pPr>
    </w:p>
    <w:p w:rsidR="00FB5145" w:rsidRPr="00C66B91" w:rsidRDefault="00FB5145" w:rsidP="00FB5145">
      <w:pPr>
        <w:jc w:val="both"/>
        <w:rPr>
          <w:b/>
          <w:bCs/>
          <w:sz w:val="22"/>
          <w:szCs w:val="22"/>
          <w:lang w:val="en-GB"/>
        </w:rPr>
      </w:pPr>
      <w:r w:rsidRPr="00C66B91">
        <w:rPr>
          <w:b/>
          <w:bCs/>
          <w:sz w:val="22"/>
          <w:szCs w:val="22"/>
          <w:lang w:val="en-GB"/>
        </w:rPr>
        <w:t>Goodwill</w:t>
      </w:r>
    </w:p>
    <w:p w:rsidR="00FB5145" w:rsidRPr="00C66B91" w:rsidRDefault="00FB5145" w:rsidP="00FB5145">
      <w:pPr>
        <w:jc w:val="both"/>
        <w:rPr>
          <w:b/>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goodwill constitutes the future economic benefits resulting from other assets, acquired in a business combination, which are not individually identified and separately recognized.</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goodwill is recognized after determination of all identifiable intangible assets. It is the difference between the acquisition cost (provided remuneration) and the fair value of the Group share in the net identifiable assets of the acquired company as at the date of acquisition (the business combination). In the consolidated financial statement, it is originally measured at acquisition cost (cost) and, subsequently, at acquisition cost less accrued impairment losses. The goodwill is not amortized.</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goodwill that occurs upon the acquisition of a subsidiary company is presented in the consolidated statement of financial position in the “intangible assets” group.</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For the purposes of the impairment test, the goodwill is attributed to each cash-generating unit of the Group (or group of cash-generating units), expected to reap the benefits of the business combination, regardless of whether other assets and liabilities of the acquired company are attributed to these units.</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losses, resulting from impairment of goodwill, are presented in the consolidated statement of comprehensive income (in the profit or loss for the year), line “costs for amortization”.</w:t>
      </w:r>
    </w:p>
    <w:p w:rsidR="00FB5145" w:rsidRPr="00C66B91" w:rsidRDefault="00FB5145" w:rsidP="00FB5145">
      <w:pPr>
        <w:jc w:val="both"/>
        <w:rPr>
          <w:bCs/>
          <w:sz w:val="22"/>
          <w:szCs w:val="22"/>
          <w:lang w:val="en-GB"/>
        </w:rPr>
      </w:pPr>
    </w:p>
    <w:p w:rsidR="00FB5145" w:rsidRPr="00C66B91" w:rsidRDefault="00FB5145" w:rsidP="00FB5145">
      <w:pPr>
        <w:jc w:val="both"/>
        <w:rPr>
          <w:b/>
          <w:bCs/>
          <w:sz w:val="22"/>
          <w:szCs w:val="22"/>
          <w:lang w:val="en-GB"/>
        </w:rPr>
      </w:pPr>
      <w:r w:rsidRPr="00C66B91">
        <w:rPr>
          <w:b/>
          <w:bCs/>
          <w:sz w:val="22"/>
          <w:szCs w:val="22"/>
          <w:lang w:val="en-GB"/>
        </w:rPr>
        <w:t>Business combinations</w:t>
      </w:r>
    </w:p>
    <w:p w:rsidR="00FB5145" w:rsidRPr="00C66B91" w:rsidRDefault="00FB5145" w:rsidP="00FB5145">
      <w:pPr>
        <w:jc w:val="both"/>
        <w:rPr>
          <w:b/>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acquisition method (purchase and sale) is used in case of acquisition of a subsidiary company (entity) by the Group in business combinations. The transferred remuneration includes the fair value as at the date of exchange of the provided assets, the occurring or assumed obligations and of the equity instruments issued by the acquiring company against gaining the control over the company being acquired. It also includes the fair value of each asset or liability, resulting from a contingent consideration agreement. The direct costs associated with the acquisition are recognized as current costs for the period, when incurred, except for the costs for issuing of debt or equity instruments, which are recognized as a component of the equity.</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All acquired identifiable assets, assumed liabilities and the contingent (crystallized) obligations within the business combination are initially measured at their fair value as at the date of the exchange. In case the sum of the transferred remuneration (measured at fair value), the sum of the non-controlling interest in the company being acquired and, in case of acquisition in stages, the fair value at the date of acquisition of the earlier held capital interest in the company being acquired, exceed the sum of the acquired identifiable assets and assumed liabilities of the acquiring company, the relevant sum is treated and recognized as goodwill. If the interest of the acquiring company in the fair value of the net acquired identifiable assets exceeds the acquisition cost of the business combination, the excess is immediately recognized in the consolidated income statement of the Group under the heading “profits/(losses) from acquisition/(disposal) of subsidiaries”.</w:t>
      </w:r>
    </w:p>
    <w:p w:rsidR="00FB5145" w:rsidRPr="00C66B91" w:rsidRDefault="00FB5145" w:rsidP="00FB5145">
      <w:pPr>
        <w:jc w:val="both"/>
        <w:rPr>
          <w:bCs/>
          <w:sz w:val="22"/>
          <w:szCs w:val="22"/>
          <w:lang w:val="en-GB"/>
        </w:rPr>
      </w:pPr>
    </w:p>
    <w:p w:rsidR="00FB5145" w:rsidRPr="00C66B91" w:rsidRDefault="00FB5145" w:rsidP="00FB5145">
      <w:pPr>
        <w:rPr>
          <w:b/>
          <w:spacing w:val="-1"/>
          <w:sz w:val="22"/>
          <w:szCs w:val="22"/>
          <w:lang w:val="en-GB"/>
        </w:rPr>
      </w:pPr>
      <w:r w:rsidRPr="00C66B91">
        <w:rPr>
          <w:b/>
          <w:spacing w:val="-1"/>
          <w:sz w:val="22"/>
          <w:szCs w:val="22"/>
          <w:lang w:val="en-GB"/>
        </w:rPr>
        <w:t>Financial assets</w:t>
      </w:r>
    </w:p>
    <w:p w:rsidR="00FB5145" w:rsidRPr="00C66B91" w:rsidRDefault="00FB5145" w:rsidP="00FB5145">
      <w:pPr>
        <w:rPr>
          <w:b/>
          <w:spacing w:val="-1"/>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credits and receivables are non-derivative financial assets with fixed or identifiable payments, which are not quoted at an active market. In the consolidated statement of financial position, they are measured at their amortization base using the effective interest rate method, reduced by the impairment made. These assets are included in the current assets group, if their maturity is within 12 months or in the usual operational cycle of the relevant Group company, and the others – as non-current.</w:t>
      </w:r>
    </w:p>
    <w:p w:rsidR="00FB5145" w:rsidRPr="00C66B91" w:rsidRDefault="00FB5145" w:rsidP="00FB5145">
      <w:pPr>
        <w:rPr>
          <w:b/>
          <w:spacing w:val="-1"/>
          <w:sz w:val="22"/>
          <w:szCs w:val="22"/>
          <w:lang w:val="en-GB"/>
        </w:rPr>
      </w:pPr>
    </w:p>
    <w:p w:rsidR="00FB5145" w:rsidRPr="00C66B91" w:rsidRDefault="00FB5145" w:rsidP="00FB5145">
      <w:pPr>
        <w:rPr>
          <w:b/>
          <w:spacing w:val="-1"/>
          <w:sz w:val="22"/>
          <w:szCs w:val="22"/>
          <w:lang w:val="en-GB"/>
        </w:rPr>
      </w:pPr>
      <w:r w:rsidRPr="00C66B91">
        <w:rPr>
          <w:b/>
          <w:spacing w:val="-1"/>
          <w:sz w:val="22"/>
          <w:szCs w:val="22"/>
          <w:lang w:val="en-GB"/>
        </w:rPr>
        <w:t>Trade receivables</w:t>
      </w:r>
    </w:p>
    <w:p w:rsidR="00FB5145" w:rsidRPr="00C66B91" w:rsidRDefault="00FB5145" w:rsidP="00FB5145">
      <w:pPr>
        <w:rPr>
          <w:b/>
          <w:bCs/>
          <w:spacing w:val="8"/>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The trade receivables are initially recognized at fair value and subsequently at amortized cost (using the effective interest rate method), reduced by the potential provision for impairment, based on a review of the balances carried out by the management in the end of each month. </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Provision for impairment is made in case there is an objective proof that the Group will not be able to collect all due sums in accordance with the initial conditions with reference to the relevant estimate. </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following indicate the presence of grounds for impairment: significant financial difficulties of a customer, declaring of insolvency, delay in the payment or non-payment. The amount of the impairment is the difference between the carrying and the recoverable amount. The latter is the present value of the cash flows, discounted by the effective interest rate. The amount of the provision for impairment is recognized in the income statement. Receivables that are overdue for more than 360 days are impaired to their whole amount.</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If during the next period the sum of the impairment loss decreases and this decrease may objectively be associated with an event, occurring after the recognition of the impairment, the previously recognized impairment losses are reversed to the extent the carrying amount of the asset does not exceed its amortized cost as at the date of reversal. The reversal of the impairment loss is recognized in the profit or loss.</w:t>
      </w:r>
    </w:p>
    <w:p w:rsidR="00FB5145" w:rsidRPr="00C66B91" w:rsidRDefault="00FB5145" w:rsidP="00FB5145">
      <w:pPr>
        <w:jc w:val="both"/>
        <w:rPr>
          <w:bCs/>
          <w:sz w:val="22"/>
          <w:szCs w:val="22"/>
          <w:lang w:val="en-GB"/>
        </w:rPr>
      </w:pPr>
    </w:p>
    <w:p w:rsidR="00FB5145" w:rsidRPr="00C66B91" w:rsidRDefault="00FB5145" w:rsidP="00FB5145">
      <w:pPr>
        <w:rPr>
          <w:b/>
          <w:spacing w:val="-1"/>
          <w:sz w:val="22"/>
          <w:szCs w:val="22"/>
          <w:lang w:val="en-GB"/>
        </w:rPr>
      </w:pPr>
      <w:r w:rsidRPr="00C66B91">
        <w:rPr>
          <w:b/>
          <w:spacing w:val="-1"/>
          <w:sz w:val="22"/>
          <w:szCs w:val="22"/>
          <w:lang w:val="en-GB"/>
        </w:rPr>
        <w:t>Interest-bearing loans and other provided financial resources</w:t>
      </w:r>
    </w:p>
    <w:p w:rsidR="00FB5145" w:rsidRPr="00C66B91" w:rsidRDefault="00FB5145" w:rsidP="00FB5145">
      <w:pPr>
        <w:rPr>
          <w:b/>
          <w:spacing w:val="-1"/>
          <w:sz w:val="22"/>
          <w:szCs w:val="22"/>
          <w:lang w:val="en-GB"/>
        </w:rPr>
      </w:pPr>
    </w:p>
    <w:p w:rsidR="00FB5145" w:rsidRPr="00C66B91" w:rsidRDefault="00FB5145" w:rsidP="00FB5145">
      <w:pPr>
        <w:jc w:val="both"/>
        <w:rPr>
          <w:bCs/>
          <w:sz w:val="22"/>
          <w:szCs w:val="22"/>
          <w:lang w:val="en-GB"/>
        </w:rPr>
      </w:pPr>
      <w:r w:rsidRPr="00C66B91">
        <w:rPr>
          <w:bCs/>
          <w:sz w:val="22"/>
          <w:szCs w:val="22"/>
          <w:lang w:val="en-GB"/>
        </w:rPr>
        <w:t>All loans and other provided financial resources are initially presented at cost (nominal sum), which is assumed as the fair value of what is provided under the transaction, net of direct costs, related to these loans and provided resources. After their initial recognition, the interest-bearing loans and other provided resources are subsequently measured and presented in the consolidated financial statement at amortization base, determined using the effective interest rate method. The amortization base is calculated taking into account of all kinds of charges, commission and other sums associated with these loans. The profits and losses are recognized in the consolidated statement of comprehensive income (in the profit or loss for the year) as financial revenues (interests) or costs for the period of amortization or when the receivables are extinguished, written off or reduced.</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p>
    <w:p w:rsidR="00FB5145" w:rsidRPr="00C66B91" w:rsidRDefault="00FB5145" w:rsidP="00FB5145">
      <w:pPr>
        <w:rPr>
          <w:b/>
          <w:spacing w:val="-1"/>
          <w:sz w:val="22"/>
          <w:szCs w:val="22"/>
          <w:lang w:val="en-GB"/>
        </w:rPr>
      </w:pPr>
      <w:r w:rsidRPr="00C66B91">
        <w:rPr>
          <w:b/>
          <w:spacing w:val="-1"/>
          <w:sz w:val="22"/>
          <w:szCs w:val="22"/>
          <w:lang w:val="en-GB"/>
        </w:rPr>
        <w:t>Cash and cash equivalents</w:t>
      </w:r>
    </w:p>
    <w:p w:rsidR="00FB5145" w:rsidRPr="00C66B91" w:rsidRDefault="00FB5145" w:rsidP="00FB5145">
      <w:pPr>
        <w:jc w:val="both"/>
        <w:rPr>
          <w:b/>
          <w:sz w:val="22"/>
          <w:szCs w:val="22"/>
          <w:lang w:val="en-GB"/>
        </w:rPr>
      </w:pPr>
    </w:p>
    <w:p w:rsidR="00FB5145" w:rsidRPr="00C66B91" w:rsidRDefault="00FB5145" w:rsidP="00FB5145">
      <w:pPr>
        <w:jc w:val="both"/>
        <w:rPr>
          <w:bCs/>
          <w:sz w:val="22"/>
          <w:szCs w:val="22"/>
          <w:lang w:val="en-GB"/>
        </w:rPr>
      </w:pPr>
      <w:r w:rsidRPr="00C66B91">
        <w:rPr>
          <w:bCs/>
          <w:sz w:val="22"/>
          <w:szCs w:val="22"/>
          <w:lang w:val="en-GB"/>
        </w:rPr>
        <w:t>Cash and cash equivalents consist in cash at hand and on bank accounts, other highly liquid short-term investments with initial maturity of 3 months or less.</w:t>
      </w:r>
    </w:p>
    <w:p w:rsidR="00FB5145" w:rsidRPr="00C66B91" w:rsidRDefault="00FB5145" w:rsidP="00FB5145">
      <w:pPr>
        <w:rPr>
          <w:b/>
          <w:spacing w:val="-1"/>
          <w:sz w:val="22"/>
          <w:szCs w:val="22"/>
          <w:lang w:val="en-GB"/>
        </w:rPr>
      </w:pPr>
    </w:p>
    <w:p w:rsidR="00FB5145" w:rsidRPr="00C66B91" w:rsidRDefault="00FB5145" w:rsidP="00FB5145">
      <w:pPr>
        <w:rPr>
          <w:b/>
          <w:spacing w:val="-1"/>
          <w:sz w:val="22"/>
          <w:szCs w:val="22"/>
          <w:lang w:val="en-GB"/>
        </w:rPr>
      </w:pPr>
      <w:r w:rsidRPr="00C66B91">
        <w:rPr>
          <w:b/>
          <w:spacing w:val="-1"/>
          <w:sz w:val="22"/>
          <w:szCs w:val="22"/>
          <w:lang w:val="en-GB"/>
        </w:rPr>
        <w:t>Financial liabilities and equity instruments</w:t>
      </w:r>
    </w:p>
    <w:p w:rsidR="00FB5145" w:rsidRPr="00C66B91" w:rsidRDefault="00FB5145" w:rsidP="00FB5145">
      <w:pPr>
        <w:rPr>
          <w:b/>
          <w:spacing w:val="-1"/>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Group classifies the debt and equity instruments either as financial payables or as equity, depending on the nature and the conditions of the contract with the relevant contracting party in respect of such instruments.</w:t>
      </w:r>
    </w:p>
    <w:p w:rsidR="00FB5145" w:rsidRPr="00C66B91" w:rsidRDefault="00FB5145" w:rsidP="00FB5145">
      <w:pPr>
        <w:rPr>
          <w:b/>
          <w:spacing w:val="-1"/>
          <w:sz w:val="22"/>
          <w:szCs w:val="22"/>
          <w:lang w:val="en-GB"/>
        </w:rPr>
      </w:pPr>
    </w:p>
    <w:p w:rsidR="00FB5145" w:rsidRPr="00C66B91" w:rsidRDefault="00FB5145" w:rsidP="00FB5145">
      <w:pPr>
        <w:rPr>
          <w:b/>
          <w:spacing w:val="-1"/>
          <w:sz w:val="22"/>
          <w:szCs w:val="22"/>
          <w:lang w:val="en-GB"/>
        </w:rPr>
      </w:pPr>
      <w:r w:rsidRPr="00C66B91">
        <w:rPr>
          <w:b/>
          <w:spacing w:val="-1"/>
          <w:sz w:val="22"/>
          <w:szCs w:val="22"/>
          <w:lang w:val="en-GB"/>
        </w:rPr>
        <w:t>Equity, reserves and dividends</w:t>
      </w:r>
    </w:p>
    <w:p w:rsidR="00FB5145" w:rsidRPr="00C66B91" w:rsidRDefault="00FB5145" w:rsidP="00FB5145">
      <w:pPr>
        <w:rPr>
          <w:b/>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The issued ordinary shares are classified as share capital, which is presented at par value in accordance with the court decision for registration of the Parent Company. </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SPEEDY AD is a joint-stock company and it is obliged to register with the Commercial Register a certain amount of share capital, to serve as a security for the creditors of the Parent Company as to the recovery of their claims against the company. </w:t>
      </w:r>
    </w:p>
    <w:p w:rsidR="00FB5145" w:rsidRPr="00C66B91" w:rsidRDefault="00FB5145" w:rsidP="00FB5145">
      <w:pPr>
        <w:jc w:val="both"/>
        <w:rPr>
          <w:szCs w:val="22"/>
          <w:lang w:val="en-GB"/>
        </w:rPr>
      </w:pPr>
    </w:p>
    <w:p w:rsidR="00FB5145" w:rsidRPr="00C66B91" w:rsidRDefault="00FB5145" w:rsidP="00FB5145">
      <w:pPr>
        <w:jc w:val="both"/>
        <w:rPr>
          <w:bCs/>
          <w:sz w:val="22"/>
          <w:szCs w:val="22"/>
          <w:lang w:val="en-GB"/>
        </w:rPr>
      </w:pPr>
      <w:r w:rsidRPr="00C66B91">
        <w:rPr>
          <w:bCs/>
          <w:sz w:val="22"/>
          <w:szCs w:val="22"/>
          <w:lang w:val="en-GB"/>
        </w:rPr>
        <w:t>The Parent Company accounts for its share capital at par value of the registered shares.</w:t>
      </w:r>
    </w:p>
    <w:p w:rsidR="00FB5145" w:rsidRPr="00C66B91" w:rsidRDefault="00FB5145" w:rsidP="00FB5145">
      <w:pPr>
        <w:jc w:val="both"/>
        <w:rPr>
          <w:szCs w:val="22"/>
          <w:lang w:val="en-GB"/>
        </w:rPr>
      </w:pPr>
    </w:p>
    <w:p w:rsidR="00FB5145" w:rsidRPr="00C66B91" w:rsidRDefault="00FB5145" w:rsidP="00FB5145">
      <w:pPr>
        <w:jc w:val="both"/>
        <w:rPr>
          <w:sz w:val="22"/>
          <w:szCs w:val="22"/>
          <w:lang w:val="en-GB"/>
        </w:rPr>
      </w:pPr>
      <w:r w:rsidRPr="00C66B91">
        <w:rPr>
          <w:sz w:val="22"/>
          <w:szCs w:val="22"/>
          <w:lang w:val="en-GB"/>
        </w:rPr>
        <w:t>In accordance with the requirements of the Commercial Act and the adopted By-laws, the Parent Company created a Reserve fund raising funds from the following sources:</w:t>
      </w:r>
    </w:p>
    <w:p w:rsidR="00FB5145" w:rsidRPr="00C66B91" w:rsidRDefault="00FB5145" w:rsidP="00FB5145">
      <w:pPr>
        <w:numPr>
          <w:ilvl w:val="0"/>
          <w:numId w:val="38"/>
        </w:numPr>
        <w:ind w:hanging="720"/>
        <w:jc w:val="both"/>
        <w:rPr>
          <w:sz w:val="22"/>
          <w:szCs w:val="22"/>
          <w:lang w:val="en-GB"/>
        </w:rPr>
      </w:pPr>
      <w:r w:rsidRPr="00C66B91">
        <w:rPr>
          <w:sz w:val="22"/>
          <w:szCs w:val="22"/>
          <w:lang w:val="en-GB"/>
        </w:rPr>
        <w:t>Part of the profit, specified by the single owner of the capital, however, not less than 1/10, until the money in the fund reach 1/10 of the capital;</w:t>
      </w:r>
    </w:p>
    <w:p w:rsidR="00FB5145" w:rsidRPr="00C66B91" w:rsidRDefault="00FB5145" w:rsidP="00FB5145">
      <w:pPr>
        <w:numPr>
          <w:ilvl w:val="0"/>
          <w:numId w:val="38"/>
        </w:numPr>
        <w:ind w:hanging="720"/>
        <w:jc w:val="both"/>
        <w:rPr>
          <w:sz w:val="22"/>
          <w:szCs w:val="22"/>
          <w:lang w:val="en-GB"/>
        </w:rPr>
      </w:pPr>
      <w:r w:rsidRPr="00C66B91">
        <w:rPr>
          <w:sz w:val="22"/>
          <w:szCs w:val="22"/>
          <w:lang w:val="en-GB"/>
        </w:rPr>
        <w:t>The obtained funds above the par value of the shares and bonds upon their issuing;</w:t>
      </w:r>
    </w:p>
    <w:p w:rsidR="00FB5145" w:rsidRPr="00C66B91" w:rsidRDefault="00FB5145" w:rsidP="00FB5145">
      <w:pPr>
        <w:numPr>
          <w:ilvl w:val="0"/>
          <w:numId w:val="38"/>
        </w:numPr>
        <w:ind w:hanging="720"/>
        <w:jc w:val="both"/>
        <w:rPr>
          <w:sz w:val="22"/>
          <w:szCs w:val="22"/>
          <w:lang w:val="en-GB"/>
        </w:rPr>
      </w:pPr>
      <w:r w:rsidRPr="00C66B91">
        <w:rPr>
          <w:sz w:val="22"/>
          <w:szCs w:val="22"/>
          <w:lang w:val="en-GB"/>
        </w:rPr>
        <w:t>Other sources, upon decision of the single owner of the capital.</w:t>
      </w:r>
    </w:p>
    <w:p w:rsidR="00FB5145" w:rsidRPr="00C66B91" w:rsidRDefault="00FB5145" w:rsidP="00FB5145">
      <w:pPr>
        <w:jc w:val="both"/>
        <w:rPr>
          <w:szCs w:val="22"/>
          <w:lang w:val="en-GB"/>
        </w:rPr>
      </w:pPr>
    </w:p>
    <w:p w:rsidR="00FB5145" w:rsidRPr="00C66B91" w:rsidRDefault="00FB5145" w:rsidP="00FB5145">
      <w:pPr>
        <w:jc w:val="both"/>
        <w:rPr>
          <w:sz w:val="22"/>
          <w:szCs w:val="22"/>
          <w:lang w:val="en-GB"/>
        </w:rPr>
      </w:pPr>
      <w:r w:rsidRPr="00C66B91">
        <w:rPr>
          <w:sz w:val="22"/>
          <w:szCs w:val="22"/>
          <w:lang w:val="en-GB"/>
        </w:rPr>
        <w:t>The funds in the Reserve fund may be used only for:</w:t>
      </w:r>
    </w:p>
    <w:p w:rsidR="00FB5145" w:rsidRPr="00C66B91" w:rsidRDefault="00FB5145" w:rsidP="00FB5145">
      <w:pPr>
        <w:numPr>
          <w:ilvl w:val="0"/>
          <w:numId w:val="39"/>
        </w:numPr>
        <w:ind w:hanging="720"/>
        <w:jc w:val="both"/>
        <w:rPr>
          <w:sz w:val="22"/>
          <w:szCs w:val="22"/>
          <w:lang w:val="en-GB"/>
        </w:rPr>
      </w:pPr>
      <w:r w:rsidRPr="00C66B91">
        <w:rPr>
          <w:sz w:val="22"/>
          <w:szCs w:val="22"/>
          <w:lang w:val="en-GB"/>
        </w:rPr>
        <w:t>Covering of the loss for the year;</w:t>
      </w:r>
    </w:p>
    <w:p w:rsidR="00FB5145" w:rsidRPr="00C66B91" w:rsidRDefault="00FB5145" w:rsidP="00FB5145">
      <w:pPr>
        <w:numPr>
          <w:ilvl w:val="0"/>
          <w:numId w:val="39"/>
        </w:numPr>
        <w:ind w:hanging="720"/>
        <w:jc w:val="both"/>
        <w:rPr>
          <w:sz w:val="22"/>
          <w:szCs w:val="22"/>
          <w:lang w:val="en-GB"/>
        </w:rPr>
      </w:pPr>
      <w:r w:rsidRPr="00C66B91">
        <w:rPr>
          <w:sz w:val="22"/>
          <w:szCs w:val="22"/>
          <w:lang w:val="en-GB"/>
        </w:rPr>
        <w:t>Covering of losses from previous years;</w:t>
      </w:r>
    </w:p>
    <w:p w:rsidR="00FB5145" w:rsidRPr="00C66B91" w:rsidRDefault="00FB5145" w:rsidP="00FB5145">
      <w:pPr>
        <w:numPr>
          <w:ilvl w:val="0"/>
          <w:numId w:val="38"/>
        </w:numPr>
        <w:ind w:hanging="720"/>
        <w:jc w:val="both"/>
        <w:rPr>
          <w:sz w:val="22"/>
          <w:szCs w:val="22"/>
          <w:lang w:val="en-GB"/>
        </w:rPr>
      </w:pPr>
      <w:r w:rsidRPr="00C66B91">
        <w:rPr>
          <w:sz w:val="22"/>
          <w:szCs w:val="22"/>
          <w:lang w:val="en-GB"/>
        </w:rPr>
        <w:t>When the funds in the Reserve fund exceed 1/10 of the capital, the excess may be used to increase the capital.</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The share premium reserves consist of premiums, obtained upon the issuance of equity. All costs for transactions, related to the issuance of shares are deducted from the paid-in capital, net of tax reliefs.</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The retained earnings consist of the current financial result and the accumulated profits from previous years and losses not covered from previous years.</w:t>
      </w:r>
    </w:p>
    <w:p w:rsidR="00FB5145" w:rsidRPr="00C66B91" w:rsidRDefault="00FB5145" w:rsidP="00FB5145">
      <w:pPr>
        <w:jc w:val="both"/>
        <w:rPr>
          <w:sz w:val="22"/>
          <w:szCs w:val="22"/>
          <w:lang w:val="en-GB"/>
        </w:rPr>
      </w:pPr>
    </w:p>
    <w:p w:rsidR="00FB5145" w:rsidRPr="00C66B91" w:rsidRDefault="00FB5145" w:rsidP="00FB5145">
      <w:pPr>
        <w:jc w:val="both"/>
        <w:rPr>
          <w:sz w:val="22"/>
          <w:szCs w:val="22"/>
          <w:lang w:val="en-GB"/>
        </w:rPr>
      </w:pPr>
      <w:r w:rsidRPr="00C66B91">
        <w:rPr>
          <w:sz w:val="22"/>
          <w:szCs w:val="22"/>
          <w:lang w:val="en-GB"/>
        </w:rPr>
        <w:t>The distribution of dividends is recognized as payable in the financial statements for the period, when approved by the owners.</w:t>
      </w:r>
    </w:p>
    <w:p w:rsidR="00FB5145" w:rsidRPr="00C66B91" w:rsidRDefault="00FB5145" w:rsidP="00FB5145">
      <w:pPr>
        <w:jc w:val="both"/>
        <w:rPr>
          <w:bCs/>
          <w:sz w:val="22"/>
          <w:szCs w:val="22"/>
          <w:lang w:val="en-GB"/>
        </w:rPr>
      </w:pPr>
    </w:p>
    <w:p w:rsidR="00FB5145" w:rsidRPr="00C66B91" w:rsidRDefault="00FB5145" w:rsidP="00FB5145">
      <w:pPr>
        <w:rPr>
          <w:b/>
          <w:color w:val="241E1C"/>
          <w:sz w:val="22"/>
          <w:szCs w:val="22"/>
          <w:lang w:val="en-GB"/>
        </w:rPr>
      </w:pPr>
      <w:r w:rsidRPr="00C66B91">
        <w:rPr>
          <w:b/>
          <w:color w:val="241E1C"/>
          <w:sz w:val="22"/>
          <w:szCs w:val="22"/>
          <w:lang w:val="en-GB"/>
        </w:rPr>
        <w:t>Financial liabilities</w:t>
      </w:r>
    </w:p>
    <w:p w:rsidR="00FB5145" w:rsidRPr="00C66B91" w:rsidRDefault="00FB5145" w:rsidP="00FB5145">
      <w:pPr>
        <w:rPr>
          <w:b/>
          <w:color w:val="241E1C"/>
          <w:sz w:val="22"/>
          <w:szCs w:val="22"/>
          <w:lang w:val="en-GB"/>
        </w:rPr>
      </w:pPr>
    </w:p>
    <w:p w:rsidR="00FB5145" w:rsidRPr="00C66B91" w:rsidRDefault="00FB5145" w:rsidP="00FB5145">
      <w:pPr>
        <w:jc w:val="both"/>
        <w:rPr>
          <w:color w:val="241E1C"/>
          <w:sz w:val="22"/>
          <w:szCs w:val="22"/>
          <w:lang w:val="en-GB"/>
        </w:rPr>
      </w:pPr>
      <w:r w:rsidRPr="00C66B91">
        <w:rPr>
          <w:color w:val="241E1C"/>
          <w:sz w:val="22"/>
          <w:szCs w:val="22"/>
          <w:lang w:val="en-GB"/>
        </w:rPr>
        <w:t>The financial liabilities of the Group consist of bank loans, trade and other payables and payables under lease agreements.</w:t>
      </w:r>
    </w:p>
    <w:p w:rsidR="00FB5145" w:rsidRPr="00C66B91" w:rsidRDefault="00FB5145" w:rsidP="00FB5145">
      <w:pPr>
        <w:rPr>
          <w:color w:val="241E1C"/>
          <w:sz w:val="22"/>
          <w:szCs w:val="22"/>
          <w:lang w:val="en-GB"/>
        </w:rPr>
      </w:pPr>
    </w:p>
    <w:p w:rsidR="00FB5145" w:rsidRPr="00C66B91" w:rsidRDefault="00FB5145" w:rsidP="00FB5145">
      <w:pPr>
        <w:jc w:val="both"/>
        <w:rPr>
          <w:bCs/>
          <w:sz w:val="22"/>
          <w:szCs w:val="22"/>
          <w:lang w:val="en-GB"/>
        </w:rPr>
      </w:pPr>
      <w:r w:rsidRPr="00C66B91">
        <w:rPr>
          <w:bCs/>
          <w:sz w:val="22"/>
          <w:szCs w:val="22"/>
          <w:lang w:val="en-GB"/>
        </w:rPr>
        <w:lastRenderedPageBreak/>
        <w:t>The financial liabilities are recognized, where there is a contractual obligation for payment of cash or another financial asset to another entity or contractual obligation to exchange financial instruments with another entity under potentially unfavorable conditions.</w:t>
      </w:r>
    </w:p>
    <w:p w:rsidR="00FB5145" w:rsidRPr="00C66B91" w:rsidRDefault="00FB5145" w:rsidP="00FB5145">
      <w:pPr>
        <w:rPr>
          <w:b/>
          <w:color w:val="241E1C"/>
          <w:sz w:val="22"/>
          <w:szCs w:val="22"/>
          <w:lang w:val="en-GB"/>
        </w:rPr>
      </w:pPr>
    </w:p>
    <w:p w:rsidR="00FB5145" w:rsidRPr="00C66B91" w:rsidRDefault="00FB5145" w:rsidP="00FB5145">
      <w:pPr>
        <w:jc w:val="both"/>
        <w:rPr>
          <w:bCs/>
          <w:sz w:val="22"/>
          <w:szCs w:val="22"/>
          <w:lang w:val="en-GB"/>
        </w:rPr>
      </w:pPr>
      <w:r w:rsidRPr="00C66B91">
        <w:rPr>
          <w:bCs/>
          <w:sz w:val="22"/>
          <w:szCs w:val="22"/>
          <w:lang w:val="en-GB"/>
        </w:rPr>
        <w:t>Subsequently, the financial liabilities are measured at amortized cost, using the effective interest rate method.</w:t>
      </w:r>
    </w:p>
    <w:p w:rsidR="00FB5145" w:rsidRPr="00C66B91" w:rsidRDefault="00FB5145" w:rsidP="00FB5145">
      <w:pPr>
        <w:rPr>
          <w:b/>
          <w:color w:val="241E1C"/>
          <w:sz w:val="22"/>
          <w:szCs w:val="22"/>
          <w:lang w:val="en-GB"/>
        </w:rPr>
      </w:pPr>
    </w:p>
    <w:p w:rsidR="00FB5145" w:rsidRPr="00C66B91" w:rsidRDefault="00FB5145" w:rsidP="00FB5145">
      <w:pPr>
        <w:rPr>
          <w:b/>
          <w:iCs/>
          <w:sz w:val="22"/>
          <w:szCs w:val="22"/>
          <w:lang w:val="en-GB"/>
        </w:rPr>
      </w:pPr>
      <w:r w:rsidRPr="00C66B91">
        <w:rPr>
          <w:b/>
          <w:iCs/>
          <w:sz w:val="22"/>
          <w:szCs w:val="22"/>
          <w:lang w:val="en-GB"/>
        </w:rPr>
        <w:t>Trade payables</w:t>
      </w:r>
    </w:p>
    <w:p w:rsidR="00FB5145" w:rsidRPr="00C66B91" w:rsidRDefault="00FB5145" w:rsidP="00FB5145">
      <w:pPr>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trade payables constitute obligations for payment of goods or services obtained from suppliers in the ordinary course of business. The trade payables are qualified as current liabilities, if the payment is due within one year or less (or the normal business cycle is longer). Otherwise, they are presented as non-current liabilities.</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color w:val="000000"/>
          <w:spacing w:val="-1"/>
          <w:sz w:val="22"/>
          <w:szCs w:val="22"/>
          <w:lang w:val="en-GB"/>
        </w:rPr>
        <w:t>Initially, the trade payables are recognized at fair value, while subsequently – at amortized cost using the effective interest rate method</w:t>
      </w:r>
      <w:r w:rsidRPr="00C66B91">
        <w:rPr>
          <w:bCs/>
          <w:sz w:val="22"/>
          <w:szCs w:val="22"/>
          <w:lang w:val="en-GB"/>
        </w:rPr>
        <w:t>.</w:t>
      </w:r>
    </w:p>
    <w:p w:rsidR="00FB5145" w:rsidRPr="00C66B91" w:rsidRDefault="00FB5145" w:rsidP="00FB5145">
      <w:pPr>
        <w:jc w:val="both"/>
        <w:rPr>
          <w:bCs/>
          <w:sz w:val="22"/>
          <w:szCs w:val="22"/>
          <w:lang w:val="en-GB"/>
        </w:rPr>
      </w:pPr>
    </w:p>
    <w:p w:rsidR="00FB5145" w:rsidRPr="00C66B91" w:rsidRDefault="00FB5145" w:rsidP="00FB5145">
      <w:pPr>
        <w:rPr>
          <w:color w:val="000000"/>
          <w:spacing w:val="-1"/>
          <w:sz w:val="22"/>
          <w:szCs w:val="22"/>
          <w:lang w:val="en-GB"/>
        </w:rPr>
      </w:pPr>
      <w:r w:rsidRPr="00C66B91">
        <w:rPr>
          <w:b/>
          <w:bCs/>
          <w:sz w:val="22"/>
          <w:szCs w:val="22"/>
          <w:lang w:val="en-GB"/>
        </w:rPr>
        <w:t>Interest-bearing loans and other attracted financial resources</w:t>
      </w:r>
    </w:p>
    <w:p w:rsidR="00FB5145" w:rsidRPr="00C66B91" w:rsidRDefault="00FB5145" w:rsidP="00FB5145">
      <w:pPr>
        <w:rPr>
          <w:color w:val="000000"/>
          <w:spacing w:val="-1"/>
          <w:sz w:val="22"/>
          <w:szCs w:val="22"/>
          <w:lang w:val="en-GB"/>
        </w:rPr>
      </w:pPr>
    </w:p>
    <w:p w:rsidR="00FB5145" w:rsidRPr="00C66B91" w:rsidRDefault="00FB5145" w:rsidP="00FB5145">
      <w:pPr>
        <w:jc w:val="both"/>
        <w:rPr>
          <w:bCs/>
          <w:sz w:val="22"/>
          <w:szCs w:val="22"/>
          <w:lang w:val="en-GB"/>
        </w:rPr>
      </w:pPr>
      <w:r w:rsidRPr="00C66B91">
        <w:rPr>
          <w:bCs/>
          <w:sz w:val="22"/>
          <w:szCs w:val="22"/>
          <w:lang w:val="en-GB"/>
        </w:rPr>
        <w:t>In the consolidated financial statement, all loans and other attracted financial resources are initially presented at cost (nominal sum), which is assumed as the fair value of what is received under the transaction, net of the direct costs associated with these loans and attracted resources. After their initial recognition, the interest-bearing loans and other attracted financial resources are subsequently measured and presented in the consolidated financial statement at the amortization base, determined using the effective interest rate method. The amortization base is calculated taking into account all kinds of charges, commissions and other costs, including discount or premium, associated with these loans. The profits and losses are recognized in the consolidated statement of comprehensive income (in the profit or loss for the year) as financial revenues or costs (interests) during the period of amortization or when the payables are written off or reduced.</w:t>
      </w:r>
    </w:p>
    <w:p w:rsidR="00FB5145" w:rsidRPr="00C66B91" w:rsidRDefault="00FB5145" w:rsidP="00FB5145">
      <w:pPr>
        <w:rPr>
          <w:color w:val="000000"/>
          <w:spacing w:val="-1"/>
          <w:sz w:val="22"/>
          <w:szCs w:val="22"/>
          <w:lang w:val="en-GB"/>
        </w:rPr>
      </w:pPr>
    </w:p>
    <w:p w:rsidR="00FB5145" w:rsidRPr="00C66B91" w:rsidRDefault="00FB5145" w:rsidP="00FB5145">
      <w:pPr>
        <w:rPr>
          <w:b/>
          <w:iCs/>
          <w:sz w:val="22"/>
          <w:szCs w:val="22"/>
          <w:lang w:val="en-GB"/>
        </w:rPr>
      </w:pPr>
      <w:r w:rsidRPr="00C66B91">
        <w:rPr>
          <w:b/>
          <w:iCs/>
          <w:sz w:val="22"/>
          <w:szCs w:val="22"/>
          <w:lang w:val="en-GB"/>
        </w:rPr>
        <w:t>Lease</w:t>
      </w:r>
    </w:p>
    <w:p w:rsidR="00FB5145" w:rsidRPr="00C66B91" w:rsidRDefault="00FB5145" w:rsidP="00FB5145">
      <w:pPr>
        <w:rPr>
          <w:b/>
          <w:iCs/>
          <w:sz w:val="22"/>
          <w:szCs w:val="22"/>
          <w:lang w:val="en-GB"/>
        </w:rPr>
      </w:pPr>
    </w:p>
    <w:p w:rsidR="00FB5145" w:rsidRPr="00C66B91" w:rsidRDefault="00FB5145" w:rsidP="00FB5145">
      <w:pPr>
        <w:spacing w:line="288" w:lineRule="auto"/>
        <w:jc w:val="both"/>
        <w:rPr>
          <w:b/>
          <w:bCs/>
          <w:i/>
          <w:iCs/>
          <w:sz w:val="22"/>
          <w:szCs w:val="22"/>
          <w:lang w:val="en-GB"/>
        </w:rPr>
      </w:pPr>
      <w:r w:rsidRPr="00C66B91">
        <w:rPr>
          <w:b/>
          <w:bCs/>
          <w:i/>
          <w:iCs/>
          <w:sz w:val="22"/>
          <w:szCs w:val="22"/>
          <w:lang w:val="en-GB"/>
        </w:rPr>
        <w:t>Financial lease</w:t>
      </w:r>
    </w:p>
    <w:p w:rsidR="00FB5145" w:rsidRPr="00C66B91" w:rsidRDefault="00FB5145" w:rsidP="00FB5145">
      <w:pPr>
        <w:spacing w:line="288" w:lineRule="auto"/>
        <w:jc w:val="both"/>
        <w:rPr>
          <w:b/>
          <w:bCs/>
          <w:i/>
          <w:iCs/>
          <w:sz w:val="22"/>
          <w:szCs w:val="22"/>
          <w:lang w:val="en-GB"/>
        </w:rPr>
      </w:pPr>
    </w:p>
    <w:p w:rsidR="00FB5145" w:rsidRPr="00C66B91" w:rsidRDefault="00FB5145" w:rsidP="00FB5145">
      <w:pPr>
        <w:spacing w:line="288" w:lineRule="auto"/>
        <w:jc w:val="both"/>
        <w:rPr>
          <w:b/>
          <w:bCs/>
          <w:i/>
          <w:iCs/>
          <w:sz w:val="22"/>
          <w:szCs w:val="22"/>
          <w:lang w:val="en-GB"/>
        </w:rPr>
      </w:pPr>
      <w:r w:rsidRPr="00C66B91">
        <w:rPr>
          <w:b/>
          <w:bCs/>
          <w:i/>
          <w:iCs/>
          <w:sz w:val="22"/>
          <w:szCs w:val="22"/>
          <w:lang w:val="en-GB"/>
        </w:rPr>
        <w:t>The Group as a lessee</w:t>
      </w:r>
    </w:p>
    <w:p w:rsidR="00FB5145" w:rsidRPr="00C66B91" w:rsidRDefault="00FB5145" w:rsidP="00FB5145">
      <w:pPr>
        <w:spacing w:line="288" w:lineRule="auto"/>
        <w:jc w:val="both"/>
        <w:rPr>
          <w:b/>
          <w:bCs/>
          <w:i/>
          <w:i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financial lease, where substantially all the risks and economic rewards of the ownership over the asset under financial lease are transferred to the Group, is capitalized in the statement of financial position of the lessee, being presented as property, plant and equipment under lease at the immediate sales price or, if lower, at the present value of the minimum lease payments. The lease payments consist of a specified ratio between the financial cost (interest) and the respective part of the lease obligation (principal), so as to achieve a fixed interest rate for the remaining unpaid part of the principal under the lease obligation. The interest costs are included in the consolidated statement of comprehensive income (in the profit or loss for the year) as “financial costs” – interest on the basis of the effective interest rate.</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assets acquired under financial lease are amortized on the basis of the useful life of the asset and within the period of the lease.</w:t>
      </w: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ind w:left="720" w:firstLine="720"/>
        <w:jc w:val="both"/>
        <w:rPr>
          <w:b/>
          <w:bCs/>
          <w:i/>
          <w:iCs/>
          <w:sz w:val="8"/>
          <w:szCs w:val="8"/>
          <w:lang w:val="en-GB"/>
        </w:rPr>
      </w:pPr>
    </w:p>
    <w:p w:rsidR="00FB5145" w:rsidRPr="00C66B91" w:rsidRDefault="00FB5145" w:rsidP="00FB5145">
      <w:pPr>
        <w:spacing w:line="288" w:lineRule="auto"/>
        <w:jc w:val="both"/>
        <w:rPr>
          <w:b/>
          <w:bCs/>
          <w:i/>
          <w:iCs/>
          <w:sz w:val="22"/>
          <w:szCs w:val="22"/>
          <w:lang w:val="en-GB"/>
        </w:rPr>
      </w:pPr>
      <w:r w:rsidRPr="00C66B91">
        <w:rPr>
          <w:b/>
          <w:bCs/>
          <w:i/>
          <w:iCs/>
          <w:sz w:val="22"/>
          <w:szCs w:val="22"/>
          <w:lang w:val="en-GB"/>
        </w:rPr>
        <w:t>Operating lease</w:t>
      </w:r>
    </w:p>
    <w:p w:rsidR="00FB5145" w:rsidRPr="00C66B91" w:rsidRDefault="00FB5145" w:rsidP="00FB5145">
      <w:pPr>
        <w:spacing w:line="288" w:lineRule="auto"/>
        <w:jc w:val="both"/>
        <w:rPr>
          <w:b/>
          <w:bCs/>
          <w:i/>
          <w:iCs/>
          <w:sz w:val="22"/>
          <w:szCs w:val="22"/>
          <w:lang w:val="en-GB"/>
        </w:rPr>
      </w:pPr>
    </w:p>
    <w:p w:rsidR="00FB5145" w:rsidRPr="00C66B91" w:rsidRDefault="00FB5145" w:rsidP="00FB5145">
      <w:pPr>
        <w:spacing w:line="288" w:lineRule="auto"/>
        <w:jc w:val="both"/>
        <w:rPr>
          <w:b/>
          <w:bCs/>
          <w:i/>
          <w:iCs/>
          <w:sz w:val="22"/>
          <w:szCs w:val="22"/>
          <w:lang w:val="en-GB"/>
        </w:rPr>
      </w:pPr>
      <w:r w:rsidRPr="00C66B91">
        <w:rPr>
          <w:b/>
          <w:bCs/>
          <w:i/>
          <w:iCs/>
          <w:sz w:val="22"/>
          <w:szCs w:val="22"/>
          <w:lang w:val="en-GB"/>
        </w:rPr>
        <w:t>The Group as a lessee</w:t>
      </w:r>
    </w:p>
    <w:p w:rsidR="00FB5145" w:rsidRPr="00C66B91" w:rsidRDefault="00FB5145" w:rsidP="00FB5145">
      <w:pPr>
        <w:spacing w:line="288" w:lineRule="auto"/>
        <w:jc w:val="both"/>
        <w:rPr>
          <w:b/>
          <w:bCs/>
          <w:i/>
          <w:i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Lease, where the lessor still owns substantially all the risks and economic rewards of the ownership over the given asset, is classified as operating lease. Therefore, the asset is not included in the statement of financial position of the lessee.</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payments in relation to the operating lease are recognized as costs in the consolidated statement of comprehensive income (in the profit or loss for the year) on the basis of the straight-line method for the period of the lease.</w:t>
      </w:r>
    </w:p>
    <w:p w:rsidR="00FB5145" w:rsidRPr="00C66B91" w:rsidRDefault="00FB5145" w:rsidP="00FB5145">
      <w:pPr>
        <w:jc w:val="both"/>
        <w:rPr>
          <w:bCs/>
          <w:sz w:val="22"/>
          <w:szCs w:val="22"/>
          <w:lang w:val="en-GB"/>
        </w:rPr>
      </w:pPr>
    </w:p>
    <w:p w:rsidR="00FB5145" w:rsidRPr="00C66B91" w:rsidRDefault="00FB5145" w:rsidP="00FB5145">
      <w:pPr>
        <w:spacing w:line="288" w:lineRule="auto"/>
        <w:jc w:val="both"/>
        <w:rPr>
          <w:b/>
          <w:bCs/>
          <w:i/>
          <w:iCs/>
          <w:sz w:val="22"/>
          <w:szCs w:val="22"/>
          <w:lang w:val="en-GB"/>
        </w:rPr>
      </w:pPr>
      <w:r w:rsidRPr="00C66B91">
        <w:rPr>
          <w:b/>
          <w:bCs/>
          <w:i/>
          <w:iCs/>
          <w:sz w:val="22"/>
          <w:szCs w:val="22"/>
          <w:lang w:val="en-GB"/>
        </w:rPr>
        <w:t>The Group as a lessor</w:t>
      </w:r>
    </w:p>
    <w:p w:rsidR="00FB5145" w:rsidRPr="00C66B91" w:rsidRDefault="00FB5145" w:rsidP="00FB5145">
      <w:pPr>
        <w:spacing w:line="288" w:lineRule="auto"/>
        <w:jc w:val="both"/>
        <w:rPr>
          <w:b/>
          <w:bCs/>
          <w:i/>
          <w:i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lessor still owns substantially all the risks and economic rewards of the ownership over the given asset. Therefore, this asset is still included in its property, plant and equipment and its amortization for the period is included in the current costs of the lessor.</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revenues from rents under operating lease are recognized on the basis of the straight-line method for the duration of the term of the relevant lease. The initially incurred direct costs in relation to the negotiating and settlement of the operating lease are added to the carrying amount of the assets rented out and are recognized on the basis of the straight-line method for the duration of the term of the lease.</w:t>
      </w:r>
    </w:p>
    <w:p w:rsidR="00FB5145" w:rsidRPr="00C66B91" w:rsidRDefault="00FB5145" w:rsidP="00FB5145">
      <w:pPr>
        <w:jc w:val="both"/>
        <w:rPr>
          <w:bCs/>
          <w:sz w:val="22"/>
          <w:szCs w:val="22"/>
          <w:lang w:val="en-GB"/>
        </w:rPr>
      </w:pPr>
    </w:p>
    <w:p w:rsidR="00FB5145" w:rsidRPr="00C66B91" w:rsidRDefault="00FB5145" w:rsidP="00FB5145">
      <w:pPr>
        <w:rPr>
          <w:b/>
          <w:spacing w:val="-1"/>
          <w:sz w:val="22"/>
          <w:szCs w:val="22"/>
          <w:lang w:val="en-GB"/>
        </w:rPr>
      </w:pPr>
      <w:r w:rsidRPr="00C66B91">
        <w:rPr>
          <w:b/>
          <w:spacing w:val="-1"/>
          <w:sz w:val="22"/>
          <w:szCs w:val="22"/>
          <w:lang w:val="en-GB"/>
        </w:rPr>
        <w:t>Taxes</w:t>
      </w:r>
    </w:p>
    <w:p w:rsidR="00FB5145" w:rsidRPr="00C66B91" w:rsidRDefault="00FB5145" w:rsidP="00FB5145">
      <w:pPr>
        <w:jc w:val="both"/>
        <w:rPr>
          <w:b/>
          <w:smallCap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payable taxes are calculated in accordance with the Bulgarian legislation, taking into account the effect of the current taxes and of the deferred taxes. The nominal tax rate for 2014 is 10%.</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current income taxes are calculated on the basis of the taxable profit for tax purposes, provided that for that purpose the financial result is recalculated in accordance with the Bulgarian tax legislation.</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tax effect associated with transactions and events, which are accounted for as revenues or costs, is also reported in the statement of comprehensive income. The tax effect associated with transactions and events, which are accounted for directly in the equity, is also directly referred to the equity.</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Deferred taxes are calculated for all temporary differences between the tax base of the assets and liabilities and their carrying amount as at the date of the financial statement, using the balance sheet method. The deferred taxes are calculated using the tax rates, which are expected to be applicable upon their future utilization.</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Deferred tax liabilities are accounted for in respect of all temporary differences, which are subject to taxation, unless in the cases, when they result from the initial recognition of an asset or liability within a transaction, which at the moment it is concluded does not affect either the accounting, or the tax profit or loss.</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Deferred tax assets are accounted for in respect of all temporary differences, which are subject to deduction, to the extent it is likely in the future to obtain taxable profit against which the assets could be utilized.</w:t>
      </w:r>
    </w:p>
    <w:p w:rsidR="00FB5145" w:rsidRPr="00C66B91" w:rsidRDefault="00FB5145" w:rsidP="00FB5145">
      <w:pPr>
        <w:rPr>
          <w:b/>
          <w:bCs/>
          <w:spacing w:val="8"/>
          <w:sz w:val="22"/>
          <w:szCs w:val="22"/>
          <w:lang w:val="en-GB"/>
        </w:rPr>
      </w:pPr>
    </w:p>
    <w:p w:rsidR="00FB5145" w:rsidRPr="00C66B91" w:rsidRDefault="00FB5145" w:rsidP="00FB5145">
      <w:pPr>
        <w:rPr>
          <w:b/>
          <w:bCs/>
          <w:spacing w:val="8"/>
          <w:sz w:val="22"/>
          <w:szCs w:val="22"/>
          <w:lang w:val="en-GB"/>
        </w:rPr>
      </w:pPr>
    </w:p>
    <w:p w:rsidR="00FB5145" w:rsidRPr="00C66B91" w:rsidRDefault="00FB5145" w:rsidP="00FB5145">
      <w:pPr>
        <w:rPr>
          <w:b/>
          <w:spacing w:val="-1"/>
          <w:sz w:val="22"/>
          <w:szCs w:val="22"/>
          <w:lang w:val="en-GB"/>
        </w:rPr>
      </w:pPr>
      <w:r w:rsidRPr="00C66B91">
        <w:rPr>
          <w:b/>
          <w:spacing w:val="-1"/>
          <w:sz w:val="22"/>
          <w:szCs w:val="22"/>
          <w:lang w:val="en-GB"/>
        </w:rPr>
        <w:t>Income of employees</w:t>
      </w:r>
    </w:p>
    <w:p w:rsidR="00FB5145" w:rsidRPr="00C66B91" w:rsidRDefault="00FB5145" w:rsidP="00FB5145">
      <w:pPr>
        <w:rPr>
          <w:b/>
          <w:spacing w:val="-1"/>
          <w:sz w:val="22"/>
          <w:szCs w:val="22"/>
          <w:lang w:val="en-GB"/>
        </w:rPr>
      </w:pPr>
    </w:p>
    <w:p w:rsidR="00FB5145" w:rsidRPr="00C66B91" w:rsidRDefault="00FB5145" w:rsidP="00FB5145">
      <w:pPr>
        <w:rPr>
          <w:b/>
          <w:i/>
          <w:iCs/>
          <w:sz w:val="22"/>
          <w:szCs w:val="22"/>
          <w:lang w:val="en-GB"/>
        </w:rPr>
      </w:pPr>
      <w:r w:rsidRPr="00C66B91">
        <w:rPr>
          <w:b/>
          <w:i/>
          <w:iCs/>
          <w:sz w:val="22"/>
          <w:szCs w:val="22"/>
          <w:lang w:val="en-GB"/>
        </w:rPr>
        <w:t>Short-term income</w:t>
      </w:r>
    </w:p>
    <w:p w:rsidR="00FB5145" w:rsidRPr="00C66B91" w:rsidRDefault="00FB5145" w:rsidP="00FB5145">
      <w:pPr>
        <w:rPr>
          <w:b/>
          <w:spacing w:val="-1"/>
          <w:sz w:val="22"/>
          <w:szCs w:val="22"/>
          <w:lang w:val="en-GB"/>
        </w:rPr>
      </w:pPr>
    </w:p>
    <w:p w:rsidR="00FB5145" w:rsidRPr="00C66B91" w:rsidRDefault="00FB5145" w:rsidP="00FB5145">
      <w:pPr>
        <w:jc w:val="both"/>
        <w:rPr>
          <w:bCs/>
          <w:sz w:val="22"/>
          <w:szCs w:val="22"/>
          <w:lang w:val="en-GB"/>
        </w:rPr>
      </w:pPr>
      <w:r w:rsidRPr="00C66B91">
        <w:rPr>
          <w:bCs/>
          <w:sz w:val="22"/>
          <w:szCs w:val="22"/>
          <w:lang w:val="en-GB"/>
        </w:rPr>
        <w:lastRenderedPageBreak/>
        <w:t xml:space="preserve">The short-term income of the staff in the form of remunerations, bonuses and social benefits and allowances (claimable within 12 months as of the end of the period, when the staff earned them or met the necessary conditions) are recognized as costs in the statement of comprehensive income (in the profit or loss for the year), unless a given IFRS requires this sum to be capitalized in the cost of a given asset for the period, in which they are earned or the conditions entitling to them are complied with, and as current payables (after deduction of all already paid sums and relevant deductions) to their undiscounted amount. </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As at the date of each consolidated financial statement, the Group companies make an evaluation of the sum of the expected costs related to the accumulating paid leaves, which is expected to be paid as a result of the unused right to the accumulated leave. The evaluation includes an estimate of the sums for the remuneration itself and of the contributions for the compulsory social securities and health insurance, which the employer shall pay on these sums.</w:t>
      </w:r>
    </w:p>
    <w:p w:rsidR="00FB5145" w:rsidRPr="00C66B91" w:rsidRDefault="00FB5145" w:rsidP="00FB5145">
      <w:pPr>
        <w:rPr>
          <w:b/>
          <w:bCs/>
          <w:spacing w:val="8"/>
          <w:sz w:val="22"/>
          <w:szCs w:val="22"/>
          <w:lang w:val="en-GB"/>
        </w:rPr>
      </w:pPr>
    </w:p>
    <w:p w:rsidR="00FB5145" w:rsidRPr="00C66B91" w:rsidRDefault="00FB5145" w:rsidP="00FB5145">
      <w:pPr>
        <w:rPr>
          <w:b/>
          <w:i/>
          <w:iCs/>
          <w:sz w:val="22"/>
          <w:szCs w:val="22"/>
          <w:lang w:val="en-GB"/>
        </w:rPr>
      </w:pPr>
      <w:r w:rsidRPr="00C66B91">
        <w:rPr>
          <w:b/>
          <w:i/>
          <w:iCs/>
          <w:sz w:val="22"/>
          <w:szCs w:val="22"/>
          <w:lang w:val="en-GB"/>
        </w:rPr>
        <w:t>Income in retirement (defined benefit plans)</w:t>
      </w:r>
    </w:p>
    <w:p w:rsidR="00FB5145" w:rsidRPr="00C66B91" w:rsidRDefault="00FB5145" w:rsidP="00FB5145">
      <w:pPr>
        <w:rPr>
          <w:b/>
          <w:i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Pursuant to the Labor Code, upon termination of the employment relationship after the worker or employee had acquired an old-age pension entitlement, the Group has to pay to him or her compensation to the double amount of the gross monthly remuneration as at the date of termination of the employment relationship. If the worker or employee has worked at the Group during the last 10 years, the amount of the compensation comes up to his or her six-month gross remuneration.</w:t>
      </w:r>
    </w:p>
    <w:p w:rsidR="00FB5145" w:rsidRPr="00C66B91" w:rsidRDefault="00FB5145" w:rsidP="00FB5145">
      <w:pPr>
        <w:rPr>
          <w:b/>
          <w:i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defined benefit obligation is calculated on an annual basis by independent actuaries, using the projected unit credit method. The present value of the defined benefit obligation is determined by discounting the expected future cash outflows by the interest rates of high-quality government securities with maturity close to the one of the relevant obligation and in a currency, in which the payments are denominated.</w:t>
      </w:r>
    </w:p>
    <w:p w:rsidR="00FB5145" w:rsidRPr="00C66B91" w:rsidRDefault="00FB5145" w:rsidP="00FB5145">
      <w:pPr>
        <w:rPr>
          <w:b/>
          <w:i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actuarial profits and losses, resulting from practical corrections and changes in the actuarial assumptions, are recognized in the other comprehensive income on the basis of the remaining average period of service of the relevant employees. The costs for past service are recognized in the income statement at the moment of their occurrence, unless in the cases, when the retirement plan is created with a condition that the employees shall remain at the Group for a specified period of time. In such a case the costs for past service are amortized using the straight-line method for the “period of obtaining”.</w:t>
      </w:r>
    </w:p>
    <w:p w:rsidR="00FB5145" w:rsidRPr="00C66B91" w:rsidRDefault="00FB5145" w:rsidP="00FB5145">
      <w:pPr>
        <w:jc w:val="both"/>
        <w:rPr>
          <w:bCs/>
          <w:sz w:val="22"/>
          <w:szCs w:val="22"/>
          <w:lang w:val="en-GB"/>
        </w:rPr>
      </w:pPr>
    </w:p>
    <w:p w:rsidR="00FB5145" w:rsidRPr="00C66B91" w:rsidRDefault="00FB5145" w:rsidP="00FB5145">
      <w:pPr>
        <w:rPr>
          <w:b/>
          <w:spacing w:val="-1"/>
          <w:sz w:val="22"/>
          <w:szCs w:val="22"/>
          <w:lang w:val="en-GB"/>
        </w:rPr>
      </w:pPr>
      <w:r w:rsidRPr="00C66B91">
        <w:rPr>
          <w:b/>
          <w:spacing w:val="-1"/>
          <w:sz w:val="22"/>
          <w:szCs w:val="22"/>
          <w:lang w:val="en-GB"/>
        </w:rPr>
        <w:t>Provisions</w:t>
      </w:r>
    </w:p>
    <w:p w:rsidR="00FB5145" w:rsidRPr="00C66B91" w:rsidRDefault="00FB5145" w:rsidP="00FB5145">
      <w:pPr>
        <w:rPr>
          <w:b/>
          <w:spacing w:val="-1"/>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Provisions are accounted for in case of a present judicial, constructive or legal obligation for the Group as a result of past events, when cash outflows are expected so as to cover the obligation and when the amount of the obligation may be determined with sufficient precision. Provisions for future operating losses are not recognized.  </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When there are a number of obligations of this kind, the probability of cash outflows so as to cover them is measured taking into account the whole class of obligations.  </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Provisions are recognized even in the cases of low probability of cash outflows for a given obligation of the class.</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provisions are measured at the present value of the costs, which are expected to be necessary so as to cover the obligations, using a discount rate before taxes, which reflects the current market valuation of the risks associated with the obligations.</w:t>
      </w:r>
    </w:p>
    <w:p w:rsidR="00FB5145" w:rsidRPr="00C66B91" w:rsidRDefault="00FB5145" w:rsidP="00FB5145">
      <w:pPr>
        <w:jc w:val="both"/>
        <w:rPr>
          <w:bCs/>
          <w:sz w:val="22"/>
          <w:szCs w:val="22"/>
          <w:lang w:val="en-GB"/>
        </w:rPr>
      </w:pPr>
    </w:p>
    <w:p w:rsidR="00FB5145" w:rsidRPr="00C66B91" w:rsidRDefault="00FB5145" w:rsidP="00FB5145">
      <w:pPr>
        <w:pStyle w:val="dheader"/>
        <w:spacing w:before="0" w:after="0" w:line="240" w:lineRule="auto"/>
        <w:jc w:val="both"/>
        <w:rPr>
          <w:rFonts w:ascii="Times New Roman" w:hAnsi="Times New Roman"/>
          <w:b/>
          <w:color w:val="auto"/>
        </w:rPr>
      </w:pPr>
      <w:r w:rsidRPr="00C66B91">
        <w:rPr>
          <w:rFonts w:ascii="Times New Roman" w:hAnsi="Times New Roman"/>
          <w:b/>
          <w:color w:val="auto"/>
        </w:rPr>
        <w:lastRenderedPageBreak/>
        <w:t>Government funding</w:t>
      </w:r>
    </w:p>
    <w:p w:rsidR="00FB5145" w:rsidRPr="00C66B91" w:rsidRDefault="00FB5145" w:rsidP="00FB5145">
      <w:pPr>
        <w:pStyle w:val="dheader"/>
        <w:spacing w:before="0" w:after="0" w:line="240" w:lineRule="auto"/>
        <w:jc w:val="both"/>
        <w:rPr>
          <w:rFonts w:ascii="Times New Roman" w:hAnsi="Times New Roman"/>
          <w:b/>
          <w:color w:val="auto"/>
        </w:rPr>
      </w:pPr>
    </w:p>
    <w:p w:rsidR="00FB5145" w:rsidRPr="00C66B91" w:rsidRDefault="00FB5145" w:rsidP="00FB5145">
      <w:pPr>
        <w:jc w:val="both"/>
        <w:rPr>
          <w:bCs/>
          <w:sz w:val="22"/>
          <w:szCs w:val="22"/>
          <w:lang w:val="en-GB"/>
        </w:rPr>
      </w:pPr>
      <w:r w:rsidRPr="00C66B91">
        <w:rPr>
          <w:bCs/>
          <w:sz w:val="22"/>
          <w:szCs w:val="22"/>
          <w:lang w:val="en-GB"/>
        </w:rPr>
        <w:t>Grants from public institutions (municipal, governmental and international institutions, including the European funds and programs) are initially recognized as deferred revenues (funding), where there is reasonable certainty that it will be received by the Group and that the latter has complied and still complies with the conditions and requirements for the donation.</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Governmental funding, associated with compensation of incurred costs, is recognized systematically in the current profits and losses for the same period, for which the costs are recognized.</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Governmental funding, associated with compensation of investment costs for the acquisition of an asset, is recognized systematically in the current profits and losses for the whole useful life of the asset, usually proportionate to the amount of the amortization, which is recognized in the costs.</w:t>
      </w:r>
    </w:p>
    <w:p w:rsidR="00FB5145" w:rsidRPr="00C66B91" w:rsidRDefault="00FB5145" w:rsidP="00FB5145">
      <w:pPr>
        <w:jc w:val="both"/>
        <w:rPr>
          <w:bCs/>
          <w:sz w:val="22"/>
          <w:szCs w:val="22"/>
          <w:lang w:val="en-GB"/>
        </w:rPr>
      </w:pPr>
    </w:p>
    <w:p w:rsidR="00FB5145" w:rsidRPr="00C66B91" w:rsidRDefault="00FB5145" w:rsidP="00FB5145">
      <w:pPr>
        <w:pStyle w:val="dheader"/>
        <w:spacing w:before="0" w:after="0" w:line="240" w:lineRule="auto"/>
        <w:jc w:val="both"/>
        <w:rPr>
          <w:rFonts w:ascii="Times New Roman" w:hAnsi="Times New Roman"/>
          <w:b/>
          <w:color w:val="auto"/>
        </w:rPr>
      </w:pPr>
      <w:r w:rsidRPr="00C66B91">
        <w:rPr>
          <w:rFonts w:ascii="Times New Roman" w:hAnsi="Times New Roman"/>
          <w:b/>
          <w:color w:val="auto"/>
        </w:rPr>
        <w:t>Earnings per share</w:t>
      </w:r>
    </w:p>
    <w:p w:rsidR="00FB5145" w:rsidRPr="00C66B91" w:rsidRDefault="00FB5145" w:rsidP="00FB5145">
      <w:pPr>
        <w:pStyle w:val="dheader"/>
        <w:spacing w:before="0" w:after="0" w:line="240" w:lineRule="auto"/>
        <w:jc w:val="both"/>
        <w:rPr>
          <w:rFonts w:ascii="Times New Roman" w:hAnsi="Times New Roman"/>
          <w:b/>
          <w:color w:val="auto"/>
        </w:rPr>
      </w:pPr>
    </w:p>
    <w:p w:rsidR="00FB5145" w:rsidRPr="00C66B91" w:rsidRDefault="00FB5145" w:rsidP="00FB5145">
      <w:pPr>
        <w:jc w:val="both"/>
        <w:rPr>
          <w:bCs/>
          <w:sz w:val="22"/>
          <w:szCs w:val="22"/>
          <w:lang w:val="en-GB"/>
        </w:rPr>
      </w:pPr>
      <w:r w:rsidRPr="00C66B91">
        <w:rPr>
          <w:bCs/>
          <w:sz w:val="22"/>
          <w:szCs w:val="22"/>
          <w:lang w:val="en-GB"/>
        </w:rPr>
        <w:t>The main earnings per share are calculated by dividing the net profit or loss for the period, which shall be distributed among the shareholders in the Parent Company, holding ordinary shares, by the weighted-average number of the held ordinary shares for the period.</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The weighted-average number of shares is the number of the held ordinary shares in the beginning of the period, corrected by the number of the redeemed ordinary shares and the newly issued shares during the period, multiplied by the average time factor. This factor represents the ratio between the number of days, during which the specific shares were held, and the total number of days during the period.</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In case of capitalization, additional issuance or dividing, the number of ordinary shares that are outstanding by the date of such event is corrected so as to reflect the proportionate change in the number of ordinary outstanding shares as if the event happened in the beginning of the earliest period presented.</w:t>
      </w:r>
    </w:p>
    <w:p w:rsidR="00FB5145" w:rsidRPr="00C66B91" w:rsidRDefault="00FB5145" w:rsidP="00FB5145">
      <w:pPr>
        <w:jc w:val="both"/>
        <w:rPr>
          <w:bCs/>
          <w:sz w:val="22"/>
          <w:szCs w:val="22"/>
          <w:lang w:val="en-GB"/>
        </w:rPr>
      </w:pPr>
    </w:p>
    <w:p w:rsidR="00FB5145" w:rsidRPr="00C66B91" w:rsidRDefault="00FB5145" w:rsidP="00FB5145">
      <w:pPr>
        <w:jc w:val="both"/>
        <w:rPr>
          <w:bCs/>
          <w:sz w:val="22"/>
          <w:szCs w:val="22"/>
          <w:lang w:val="en-GB"/>
        </w:rPr>
      </w:pPr>
      <w:r w:rsidRPr="00C66B91">
        <w:rPr>
          <w:bCs/>
          <w:sz w:val="22"/>
          <w:szCs w:val="22"/>
          <w:lang w:val="en-GB"/>
        </w:rPr>
        <w:t xml:space="preserve">Earnings per share with reduced value are not calculated, since there are no issued potential shares with reduced value in the Group. </w:t>
      </w:r>
    </w:p>
    <w:p w:rsidR="00FB5145" w:rsidRPr="00C66B91" w:rsidRDefault="00FB5145" w:rsidP="00FB5145">
      <w:pPr>
        <w:pStyle w:val="NormalIndent"/>
        <w:spacing w:after="0"/>
        <w:ind w:left="0"/>
        <w:rPr>
          <w:rFonts w:ascii="Times New Roman" w:hAnsi="Times New Roman"/>
          <w:sz w:val="22"/>
          <w:szCs w:val="22"/>
        </w:rPr>
      </w:pPr>
    </w:p>
    <w:p w:rsidR="00FB5145" w:rsidRPr="00C66B91" w:rsidRDefault="00FB5145" w:rsidP="00FB5145">
      <w:pPr>
        <w:pStyle w:val="dheader"/>
        <w:spacing w:before="0" w:after="0" w:line="240" w:lineRule="auto"/>
        <w:jc w:val="both"/>
        <w:rPr>
          <w:rFonts w:ascii="Times New Roman" w:hAnsi="Times New Roman"/>
          <w:b/>
          <w:color w:val="auto"/>
        </w:rPr>
      </w:pPr>
      <w:r w:rsidRPr="00C66B91">
        <w:rPr>
          <w:rFonts w:ascii="Times New Roman" w:hAnsi="Times New Roman"/>
          <w:b/>
          <w:color w:val="auto"/>
        </w:rPr>
        <w:t>Recognition of revenues</w:t>
      </w:r>
    </w:p>
    <w:p w:rsidR="00FB5145" w:rsidRPr="00C66B91" w:rsidRDefault="00FB5145" w:rsidP="00FB5145">
      <w:pPr>
        <w:pStyle w:val="dheader"/>
        <w:spacing w:before="0" w:after="0" w:line="240" w:lineRule="auto"/>
        <w:jc w:val="both"/>
        <w:rPr>
          <w:rFonts w:ascii="Times New Roman" w:hAnsi="Times New Roman"/>
          <w:color w:val="auto"/>
        </w:rPr>
      </w:pPr>
    </w:p>
    <w:p w:rsidR="00FB5145" w:rsidRPr="00C66B91" w:rsidRDefault="00FB5145" w:rsidP="00FB5145">
      <w:pPr>
        <w:jc w:val="both"/>
        <w:rPr>
          <w:sz w:val="22"/>
          <w:szCs w:val="22"/>
          <w:lang w:val="en-GB"/>
        </w:rPr>
      </w:pPr>
      <w:r w:rsidRPr="00C66B91">
        <w:rPr>
          <w:sz w:val="22"/>
          <w:szCs w:val="22"/>
          <w:lang w:val="en-GB"/>
        </w:rPr>
        <w:t>The revenues are recognized to the extent it is likely for the Group to obtain economic benefits and the amount of the revenue can be measured reliably. The revenues are measured by the fair value of the received remuneration, excluding any discounts, rebates and other sales taxes or customs duties. Before recognizing the revenue, the following specific recognition criteria shall also be complied with:</w:t>
      </w:r>
    </w:p>
    <w:p w:rsidR="00FB5145" w:rsidRPr="00C66B91" w:rsidRDefault="00FB5145" w:rsidP="00FB5145">
      <w:pPr>
        <w:pStyle w:val="NormalIndent"/>
        <w:spacing w:after="0"/>
        <w:ind w:left="0"/>
        <w:rPr>
          <w:rFonts w:ascii="Times New Roman" w:hAnsi="Times New Roman"/>
          <w:sz w:val="22"/>
          <w:szCs w:val="22"/>
        </w:rPr>
      </w:pPr>
    </w:p>
    <w:p w:rsidR="00FB5145" w:rsidRPr="00C66B91" w:rsidRDefault="00FB5145" w:rsidP="00FB5145">
      <w:pPr>
        <w:pStyle w:val="italsubhd"/>
        <w:spacing w:before="0" w:line="240" w:lineRule="auto"/>
        <w:jc w:val="both"/>
        <w:rPr>
          <w:rFonts w:ascii="Times New Roman" w:hAnsi="Times New Roman"/>
          <w:bCs/>
          <w:noProof w:val="0"/>
          <w:color w:val="auto"/>
        </w:rPr>
      </w:pPr>
      <w:r w:rsidRPr="00C66B91">
        <w:rPr>
          <w:rFonts w:ascii="Times New Roman" w:hAnsi="Times New Roman"/>
          <w:bCs/>
          <w:noProof w:val="0"/>
          <w:color w:val="auto"/>
        </w:rPr>
        <w:t>Sales of materials and goods</w:t>
      </w:r>
    </w:p>
    <w:p w:rsidR="00FB5145" w:rsidRPr="00C66B91" w:rsidRDefault="00FB5145" w:rsidP="00FB5145">
      <w:pPr>
        <w:pStyle w:val="italsubhd"/>
        <w:spacing w:before="0" w:line="240" w:lineRule="auto"/>
        <w:jc w:val="both"/>
        <w:rPr>
          <w:rFonts w:ascii="Times New Roman" w:hAnsi="Times New Roman"/>
          <w:noProof w:val="0"/>
          <w:color w:val="auto"/>
        </w:rPr>
      </w:pPr>
    </w:p>
    <w:p w:rsidR="00FB5145" w:rsidRPr="00C66B91" w:rsidRDefault="00FB5145" w:rsidP="00FB5145">
      <w:pPr>
        <w:pStyle w:val="NormalIndent"/>
        <w:spacing w:after="0"/>
        <w:ind w:left="0"/>
        <w:rPr>
          <w:rFonts w:ascii="Times New Roman" w:hAnsi="Times New Roman"/>
          <w:sz w:val="22"/>
          <w:szCs w:val="22"/>
        </w:rPr>
      </w:pPr>
      <w:r w:rsidRPr="00C66B91">
        <w:rPr>
          <w:rFonts w:ascii="Times New Roman" w:hAnsi="Times New Roman"/>
          <w:sz w:val="22"/>
          <w:szCs w:val="22"/>
        </w:rPr>
        <w:t>The revenues from the sale of goods are recognized, when the substantial risks and rewards of the ownership over the goods are transferred to the buyer, which is usually the moment of their dispatch.</w:t>
      </w:r>
    </w:p>
    <w:p w:rsidR="00FB5145" w:rsidRPr="00C66B91" w:rsidRDefault="00FB5145" w:rsidP="00FB5145">
      <w:pPr>
        <w:pStyle w:val="NormalIndent"/>
        <w:spacing w:after="0"/>
        <w:ind w:left="0"/>
        <w:rPr>
          <w:rFonts w:ascii="Times New Roman" w:hAnsi="Times New Roman"/>
          <w:sz w:val="22"/>
          <w:szCs w:val="22"/>
        </w:rPr>
      </w:pPr>
    </w:p>
    <w:p w:rsidR="00FB5145" w:rsidRPr="00C66B91" w:rsidRDefault="00FB5145" w:rsidP="00FB5145">
      <w:pPr>
        <w:pStyle w:val="italsubhd"/>
        <w:spacing w:before="0" w:line="240" w:lineRule="auto"/>
        <w:jc w:val="both"/>
        <w:rPr>
          <w:rFonts w:ascii="Times New Roman" w:hAnsi="Times New Roman"/>
          <w:noProof w:val="0"/>
          <w:color w:val="auto"/>
        </w:rPr>
      </w:pPr>
      <w:r w:rsidRPr="00C66B91">
        <w:rPr>
          <w:rFonts w:ascii="Times New Roman" w:hAnsi="Times New Roman"/>
          <w:noProof w:val="0"/>
          <w:color w:val="auto"/>
        </w:rPr>
        <w:t>Provision of services</w:t>
      </w:r>
    </w:p>
    <w:p w:rsidR="00FB5145" w:rsidRPr="00C66B91" w:rsidRDefault="00FB5145" w:rsidP="00FB5145">
      <w:pPr>
        <w:pStyle w:val="italsubhd"/>
        <w:spacing w:before="0" w:line="240" w:lineRule="auto"/>
        <w:jc w:val="both"/>
        <w:rPr>
          <w:rFonts w:ascii="Times New Roman" w:hAnsi="Times New Roman"/>
          <w:noProof w:val="0"/>
          <w:color w:val="auto"/>
        </w:rPr>
      </w:pPr>
    </w:p>
    <w:p w:rsidR="00FB5145" w:rsidRPr="00C66B91" w:rsidRDefault="00FB5145" w:rsidP="00FB5145">
      <w:pPr>
        <w:pStyle w:val="NormalIndent"/>
        <w:spacing w:after="0"/>
        <w:ind w:left="0"/>
        <w:rPr>
          <w:rFonts w:ascii="Times New Roman" w:hAnsi="Times New Roman"/>
          <w:smallCaps/>
          <w:sz w:val="22"/>
          <w:szCs w:val="22"/>
          <w:lang w:eastAsia="bg-BG"/>
        </w:rPr>
      </w:pPr>
      <w:r w:rsidRPr="00C66B91">
        <w:rPr>
          <w:rFonts w:ascii="Times New Roman" w:hAnsi="Times New Roman"/>
          <w:sz w:val="22"/>
          <w:szCs w:val="22"/>
        </w:rPr>
        <w:t>The revenues from the provision of services are recognized on the basis of the degree of completion of the transaction as at the balance-sheet date. When the result of the transaction (contract) cannot be reliably measured, the revenue is recognized only insofar as the costs incurred are subject to recovery.</w:t>
      </w:r>
    </w:p>
    <w:p w:rsidR="00FB5145" w:rsidRPr="00C66B91" w:rsidRDefault="00FB5145" w:rsidP="00FB5145">
      <w:pPr>
        <w:pStyle w:val="NormalIndent"/>
        <w:spacing w:after="0"/>
        <w:ind w:left="0"/>
        <w:rPr>
          <w:rFonts w:ascii="Times New Roman" w:hAnsi="Times New Roman"/>
          <w:sz w:val="22"/>
          <w:szCs w:val="22"/>
        </w:rPr>
      </w:pPr>
    </w:p>
    <w:p w:rsidR="00FB5145" w:rsidRPr="00C66B91" w:rsidRDefault="00FB5145" w:rsidP="00FB5145">
      <w:pPr>
        <w:pStyle w:val="italsubhd"/>
        <w:spacing w:before="0" w:line="240" w:lineRule="auto"/>
        <w:jc w:val="both"/>
        <w:rPr>
          <w:rFonts w:ascii="Times New Roman" w:hAnsi="Times New Roman"/>
          <w:noProof w:val="0"/>
          <w:color w:val="auto"/>
        </w:rPr>
      </w:pPr>
      <w:r w:rsidRPr="00C66B91">
        <w:rPr>
          <w:rFonts w:ascii="Times New Roman" w:hAnsi="Times New Roman"/>
          <w:noProof w:val="0"/>
          <w:color w:val="auto"/>
        </w:rPr>
        <w:t>Revenues from interests</w:t>
      </w:r>
    </w:p>
    <w:p w:rsidR="00FB5145" w:rsidRPr="00C66B91" w:rsidRDefault="00FB5145" w:rsidP="00FB5145">
      <w:pPr>
        <w:pStyle w:val="italsubhd"/>
        <w:spacing w:before="0" w:line="240" w:lineRule="auto"/>
        <w:jc w:val="both"/>
        <w:rPr>
          <w:rFonts w:ascii="Times New Roman" w:hAnsi="Times New Roman"/>
          <w:noProof w:val="0"/>
          <w:color w:val="auto"/>
        </w:rPr>
      </w:pPr>
    </w:p>
    <w:p w:rsidR="00FB5145" w:rsidRPr="00C66B91" w:rsidRDefault="00FB5145" w:rsidP="00FB5145">
      <w:pPr>
        <w:pStyle w:val="tabletxteyg"/>
        <w:spacing w:after="0" w:line="240" w:lineRule="auto"/>
        <w:jc w:val="both"/>
        <w:rPr>
          <w:rFonts w:ascii="Times New Roman" w:hAnsi="Times New Roman"/>
          <w:color w:val="auto"/>
        </w:rPr>
      </w:pPr>
      <w:r w:rsidRPr="00C66B91">
        <w:rPr>
          <w:rFonts w:ascii="Times New Roman" w:hAnsi="Times New Roman"/>
          <w:color w:val="auto"/>
        </w:rPr>
        <w:lastRenderedPageBreak/>
        <w:t>The revenues from interests are recognized upon the accrual of the interests (using the effective interest rate method, i.e. the interest rate, which exactly discounts the expected future cash flows for the period of the expected life of the financial instrument to the carrying amount of the financial asset).</w:t>
      </w:r>
    </w:p>
    <w:p w:rsidR="00FB5145" w:rsidRPr="00C66B91" w:rsidRDefault="00FB5145" w:rsidP="00FB5145">
      <w:pPr>
        <w:pStyle w:val="NormalIndent"/>
        <w:spacing w:after="0"/>
        <w:ind w:left="0"/>
        <w:rPr>
          <w:rFonts w:ascii="Times New Roman" w:hAnsi="Times New Roman"/>
          <w:sz w:val="22"/>
          <w:szCs w:val="22"/>
        </w:rPr>
      </w:pPr>
    </w:p>
    <w:p w:rsidR="00FB5145" w:rsidRPr="00C66B91" w:rsidRDefault="00FB5145" w:rsidP="00FB5145">
      <w:pPr>
        <w:pStyle w:val="NormalIndent"/>
        <w:spacing w:after="0"/>
        <w:ind w:left="0"/>
        <w:rPr>
          <w:rFonts w:ascii="Times New Roman" w:hAnsi="Times New Roman"/>
          <w:i/>
          <w:sz w:val="22"/>
          <w:szCs w:val="22"/>
        </w:rPr>
      </w:pPr>
      <w:r w:rsidRPr="00C66B91">
        <w:rPr>
          <w:rFonts w:ascii="Times New Roman" w:hAnsi="Times New Roman"/>
          <w:i/>
          <w:sz w:val="22"/>
          <w:szCs w:val="22"/>
        </w:rPr>
        <w:t>Revenues from dividends</w:t>
      </w:r>
    </w:p>
    <w:p w:rsidR="00FB5145" w:rsidRPr="00C66B91" w:rsidRDefault="00FB5145" w:rsidP="00FB5145">
      <w:pPr>
        <w:pStyle w:val="NormalIndent"/>
        <w:spacing w:after="0"/>
        <w:ind w:left="0"/>
        <w:rPr>
          <w:rFonts w:ascii="Times New Roman" w:hAnsi="Times New Roman"/>
          <w:i/>
          <w:sz w:val="22"/>
          <w:szCs w:val="22"/>
        </w:rPr>
      </w:pPr>
    </w:p>
    <w:p w:rsidR="00FB5145" w:rsidRPr="00C66B91" w:rsidRDefault="00FB5145" w:rsidP="00FB5145">
      <w:pPr>
        <w:jc w:val="both"/>
        <w:rPr>
          <w:bCs/>
          <w:sz w:val="22"/>
          <w:szCs w:val="22"/>
          <w:lang w:val="en-GB"/>
        </w:rPr>
      </w:pPr>
      <w:r w:rsidRPr="00C66B91">
        <w:rPr>
          <w:bCs/>
          <w:sz w:val="22"/>
          <w:szCs w:val="22"/>
          <w:lang w:val="en-GB"/>
        </w:rPr>
        <w:t>The Parent Company recognized dividends from a subsidiary company in the profit or loss of its separate financial statements, when the entitlement to the dividend is established.</w:t>
      </w:r>
    </w:p>
    <w:p w:rsidR="00FB5145" w:rsidRPr="00C66B91" w:rsidRDefault="00FB5145" w:rsidP="00FB5145">
      <w:pPr>
        <w:pStyle w:val="BodyText"/>
        <w:rPr>
          <w:b/>
          <w:sz w:val="22"/>
          <w:szCs w:val="22"/>
          <w:lang w:val="en-GB"/>
        </w:rPr>
      </w:pPr>
    </w:p>
    <w:p w:rsidR="00FB5145" w:rsidRPr="00C66B91" w:rsidRDefault="00FB5145" w:rsidP="00FB5145">
      <w:pPr>
        <w:pStyle w:val="BodyText"/>
        <w:rPr>
          <w:b/>
          <w:sz w:val="22"/>
          <w:szCs w:val="22"/>
          <w:lang w:val="en-GB"/>
        </w:rPr>
      </w:pPr>
    </w:p>
    <w:p w:rsidR="00FB5145" w:rsidRPr="00C66B91" w:rsidRDefault="00FB5145" w:rsidP="00FB5145">
      <w:pPr>
        <w:pStyle w:val="BodyText"/>
        <w:rPr>
          <w:b/>
          <w:sz w:val="22"/>
          <w:szCs w:val="22"/>
          <w:lang w:val="en-GB"/>
        </w:rPr>
      </w:pPr>
    </w:p>
    <w:p w:rsidR="00FB5145" w:rsidRPr="00C66B91" w:rsidRDefault="00FB5145" w:rsidP="00FB5145">
      <w:pPr>
        <w:pStyle w:val="BodyText"/>
        <w:rPr>
          <w:b/>
          <w:sz w:val="22"/>
          <w:szCs w:val="22"/>
          <w:lang w:val="en-GB"/>
        </w:rPr>
      </w:pPr>
    </w:p>
    <w:p w:rsidR="00FB5145" w:rsidRPr="00C66B91" w:rsidRDefault="00FB5145" w:rsidP="00FB5145">
      <w:pPr>
        <w:pStyle w:val="BodyText"/>
        <w:rPr>
          <w:b/>
          <w:sz w:val="22"/>
          <w:szCs w:val="22"/>
          <w:lang w:val="en-GB"/>
        </w:rPr>
      </w:pPr>
      <w:r w:rsidRPr="00C66B91">
        <w:rPr>
          <w:b/>
          <w:sz w:val="22"/>
          <w:szCs w:val="22"/>
          <w:lang w:val="en-GB"/>
        </w:rPr>
        <w:br w:type="page"/>
      </w:r>
      <w:r w:rsidRPr="00C66B91">
        <w:rPr>
          <w:b/>
          <w:sz w:val="22"/>
          <w:szCs w:val="22"/>
          <w:lang w:val="en-GB"/>
        </w:rPr>
        <w:lastRenderedPageBreak/>
        <w:t xml:space="preserve">3. PROPERTY, PLANT AND EQUIPMENT </w:t>
      </w:r>
    </w:p>
    <w:p w:rsidR="00E922D1" w:rsidRPr="00C66B91" w:rsidRDefault="00E922D1" w:rsidP="00E922D1">
      <w:pPr>
        <w:pStyle w:val="BodyText"/>
        <w:rPr>
          <w:b/>
          <w:sz w:val="22"/>
          <w:szCs w:val="22"/>
          <w:lang w:val="en-GB"/>
        </w:rPr>
      </w:pPr>
    </w:p>
    <w:p w:rsidR="003A147F" w:rsidRPr="00C66B91" w:rsidRDefault="003A147F" w:rsidP="003A147F">
      <w:pPr>
        <w:autoSpaceDE w:val="0"/>
        <w:autoSpaceDN w:val="0"/>
        <w:adjustRightInd w:val="0"/>
        <w:jc w:val="both"/>
        <w:rPr>
          <w:sz w:val="22"/>
          <w:szCs w:val="22"/>
          <w:lang w:val="en-GB"/>
        </w:rPr>
      </w:pPr>
      <w:r w:rsidRPr="00C66B91">
        <w:rPr>
          <w:sz w:val="22"/>
          <w:szCs w:val="22"/>
          <w:lang w:val="en-GB"/>
        </w:rPr>
        <w:t>The property, plant and equipment of the Group consist of buildings, machines, equipment, vehicles and other assets, whose carrying amount for the presented periods may be analyzed as follows:</w:t>
      </w:r>
    </w:p>
    <w:p w:rsidR="00296E48" w:rsidRPr="00C66B91" w:rsidRDefault="00296E48" w:rsidP="00E922D1">
      <w:pPr>
        <w:autoSpaceDE w:val="0"/>
        <w:autoSpaceDN w:val="0"/>
        <w:adjustRightInd w:val="0"/>
        <w:jc w:val="both"/>
        <w:rPr>
          <w:sz w:val="22"/>
          <w:szCs w:val="22"/>
          <w:lang w:val="en-GB"/>
        </w:rPr>
      </w:pPr>
    </w:p>
    <w:tbl>
      <w:tblPr>
        <w:tblW w:w="9781" w:type="dxa"/>
        <w:tblLook w:val="04A0" w:firstRow="1" w:lastRow="0" w:firstColumn="1" w:lastColumn="0" w:noHBand="0" w:noVBand="1"/>
      </w:tblPr>
      <w:tblGrid>
        <w:gridCol w:w="2552"/>
        <w:gridCol w:w="1260"/>
        <w:gridCol w:w="1433"/>
        <w:gridCol w:w="1559"/>
        <w:gridCol w:w="1560"/>
        <w:gridCol w:w="1417"/>
      </w:tblGrid>
      <w:tr w:rsidR="003A147F" w:rsidRPr="00C66B91" w:rsidTr="00296E48">
        <w:trPr>
          <w:trHeight w:val="1155"/>
        </w:trPr>
        <w:tc>
          <w:tcPr>
            <w:tcW w:w="2552" w:type="dxa"/>
            <w:tcBorders>
              <w:top w:val="nil"/>
              <w:left w:val="nil"/>
              <w:bottom w:val="nil"/>
              <w:right w:val="nil"/>
            </w:tcBorders>
            <w:shd w:val="clear" w:color="auto" w:fill="auto"/>
            <w:noWrap/>
            <w:vAlign w:val="bottom"/>
            <w:hideMark/>
          </w:tcPr>
          <w:p w:rsidR="003A147F" w:rsidRPr="00C66B91" w:rsidRDefault="003A147F" w:rsidP="003A147F">
            <w:pPr>
              <w:rPr>
                <w:sz w:val="20"/>
                <w:szCs w:val="20"/>
                <w:lang w:val="en-GB"/>
              </w:rPr>
            </w:pPr>
          </w:p>
        </w:tc>
        <w:tc>
          <w:tcPr>
            <w:tcW w:w="1260" w:type="dxa"/>
            <w:tcBorders>
              <w:top w:val="nil"/>
              <w:left w:val="nil"/>
              <w:bottom w:val="single" w:sz="8" w:space="0" w:color="auto"/>
              <w:right w:val="nil"/>
            </w:tcBorders>
            <w:shd w:val="clear" w:color="auto" w:fill="auto"/>
            <w:vAlign w:val="center"/>
            <w:hideMark/>
          </w:tcPr>
          <w:p w:rsidR="003A147F" w:rsidRPr="00C66B91" w:rsidRDefault="003A147F" w:rsidP="003A147F">
            <w:pPr>
              <w:jc w:val="center"/>
              <w:rPr>
                <w:b/>
                <w:bCs/>
                <w:color w:val="241E1C"/>
                <w:sz w:val="22"/>
                <w:szCs w:val="22"/>
                <w:lang w:val="en-GB"/>
              </w:rPr>
            </w:pPr>
            <w:r w:rsidRPr="00C66B91">
              <w:rPr>
                <w:b/>
                <w:bCs/>
                <w:color w:val="241E1C"/>
                <w:sz w:val="22"/>
                <w:szCs w:val="22"/>
                <w:lang w:val="en-GB"/>
              </w:rPr>
              <w:t>Buildings</w:t>
            </w:r>
          </w:p>
        </w:tc>
        <w:tc>
          <w:tcPr>
            <w:tcW w:w="1433" w:type="dxa"/>
            <w:tcBorders>
              <w:top w:val="nil"/>
              <w:left w:val="nil"/>
              <w:bottom w:val="single" w:sz="8" w:space="0" w:color="auto"/>
              <w:right w:val="nil"/>
            </w:tcBorders>
            <w:shd w:val="clear" w:color="auto" w:fill="auto"/>
            <w:vAlign w:val="center"/>
            <w:hideMark/>
          </w:tcPr>
          <w:p w:rsidR="003A147F" w:rsidRPr="00C66B91" w:rsidRDefault="003A147F" w:rsidP="003A147F">
            <w:pPr>
              <w:jc w:val="center"/>
              <w:rPr>
                <w:b/>
                <w:bCs/>
                <w:color w:val="241E1C"/>
                <w:sz w:val="22"/>
                <w:szCs w:val="22"/>
                <w:lang w:val="en-GB"/>
              </w:rPr>
            </w:pPr>
            <w:r w:rsidRPr="00C66B91">
              <w:rPr>
                <w:b/>
                <w:bCs/>
                <w:color w:val="241E1C"/>
                <w:sz w:val="22"/>
                <w:szCs w:val="22"/>
                <w:lang w:val="en-GB"/>
              </w:rPr>
              <w:t>Plant and equipment</w:t>
            </w:r>
          </w:p>
        </w:tc>
        <w:tc>
          <w:tcPr>
            <w:tcW w:w="1559" w:type="dxa"/>
            <w:tcBorders>
              <w:top w:val="nil"/>
              <w:left w:val="nil"/>
              <w:bottom w:val="single" w:sz="8" w:space="0" w:color="auto"/>
              <w:right w:val="nil"/>
            </w:tcBorders>
            <w:shd w:val="clear" w:color="auto" w:fill="auto"/>
            <w:vAlign w:val="center"/>
            <w:hideMark/>
          </w:tcPr>
          <w:p w:rsidR="003A147F" w:rsidRPr="00C66B91" w:rsidRDefault="003A147F" w:rsidP="003A147F">
            <w:pPr>
              <w:jc w:val="center"/>
              <w:rPr>
                <w:b/>
                <w:bCs/>
                <w:color w:val="241E1C"/>
                <w:sz w:val="22"/>
                <w:szCs w:val="22"/>
                <w:lang w:val="en-GB"/>
              </w:rPr>
            </w:pPr>
            <w:r w:rsidRPr="00C66B91">
              <w:rPr>
                <w:b/>
                <w:bCs/>
                <w:color w:val="241E1C"/>
                <w:sz w:val="22"/>
                <w:szCs w:val="22"/>
                <w:lang w:val="en-GB"/>
              </w:rPr>
              <w:t>Vehicles</w:t>
            </w:r>
          </w:p>
        </w:tc>
        <w:tc>
          <w:tcPr>
            <w:tcW w:w="1560" w:type="dxa"/>
            <w:tcBorders>
              <w:top w:val="nil"/>
              <w:left w:val="nil"/>
              <w:bottom w:val="single" w:sz="8" w:space="0" w:color="auto"/>
              <w:right w:val="nil"/>
            </w:tcBorders>
            <w:shd w:val="clear" w:color="auto" w:fill="auto"/>
            <w:vAlign w:val="center"/>
            <w:hideMark/>
          </w:tcPr>
          <w:p w:rsidR="003A147F" w:rsidRPr="00C66B91" w:rsidRDefault="003A147F" w:rsidP="003A147F">
            <w:pPr>
              <w:jc w:val="center"/>
              <w:rPr>
                <w:b/>
                <w:bCs/>
                <w:color w:val="241E1C"/>
                <w:sz w:val="22"/>
                <w:szCs w:val="22"/>
                <w:lang w:val="en-GB"/>
              </w:rPr>
            </w:pPr>
            <w:r w:rsidRPr="00C66B91">
              <w:rPr>
                <w:b/>
                <w:bCs/>
                <w:color w:val="241E1C"/>
                <w:sz w:val="22"/>
                <w:szCs w:val="22"/>
                <w:lang w:val="en-GB"/>
              </w:rPr>
              <w:t>Other</w:t>
            </w:r>
          </w:p>
        </w:tc>
        <w:tc>
          <w:tcPr>
            <w:tcW w:w="1417" w:type="dxa"/>
            <w:tcBorders>
              <w:top w:val="nil"/>
              <w:left w:val="nil"/>
              <w:bottom w:val="single" w:sz="8" w:space="0" w:color="auto"/>
              <w:right w:val="nil"/>
            </w:tcBorders>
            <w:shd w:val="clear" w:color="auto" w:fill="auto"/>
            <w:vAlign w:val="center"/>
            <w:hideMark/>
          </w:tcPr>
          <w:p w:rsidR="003A147F" w:rsidRPr="00C66B91" w:rsidRDefault="003A147F" w:rsidP="003A147F">
            <w:pPr>
              <w:jc w:val="center"/>
              <w:rPr>
                <w:b/>
                <w:bCs/>
                <w:color w:val="241E1C"/>
                <w:sz w:val="22"/>
                <w:szCs w:val="22"/>
                <w:lang w:val="en-GB"/>
              </w:rPr>
            </w:pPr>
            <w:r w:rsidRPr="00C66B91">
              <w:rPr>
                <w:b/>
                <w:bCs/>
                <w:color w:val="241E1C"/>
                <w:sz w:val="22"/>
                <w:szCs w:val="22"/>
                <w:lang w:val="en-GB"/>
              </w:rPr>
              <w:t>Total</w:t>
            </w:r>
          </w:p>
        </w:tc>
      </w:tr>
      <w:tr w:rsidR="00296E48" w:rsidRPr="00C66B91" w:rsidTr="00296E48">
        <w:trPr>
          <w:trHeight w:val="315"/>
        </w:trPr>
        <w:tc>
          <w:tcPr>
            <w:tcW w:w="2552" w:type="dxa"/>
            <w:tcBorders>
              <w:top w:val="nil"/>
              <w:left w:val="nil"/>
              <w:bottom w:val="nil"/>
              <w:right w:val="nil"/>
            </w:tcBorders>
            <w:shd w:val="clear" w:color="auto" w:fill="auto"/>
            <w:noWrap/>
            <w:vAlign w:val="bottom"/>
            <w:hideMark/>
          </w:tcPr>
          <w:p w:rsidR="00296E48" w:rsidRPr="00C66B91" w:rsidRDefault="00296E48" w:rsidP="00296E48">
            <w:pPr>
              <w:jc w:val="center"/>
              <w:rPr>
                <w:b/>
                <w:bCs/>
                <w:color w:val="241E1C"/>
                <w:sz w:val="22"/>
                <w:szCs w:val="22"/>
                <w:lang w:val="en-GB"/>
              </w:rPr>
            </w:pPr>
          </w:p>
        </w:tc>
        <w:tc>
          <w:tcPr>
            <w:tcW w:w="1260" w:type="dxa"/>
            <w:tcBorders>
              <w:top w:val="nil"/>
              <w:left w:val="nil"/>
              <w:bottom w:val="single" w:sz="8" w:space="0" w:color="auto"/>
              <w:right w:val="nil"/>
            </w:tcBorders>
            <w:shd w:val="clear" w:color="auto" w:fill="auto"/>
            <w:noWrap/>
            <w:vAlign w:val="center"/>
            <w:hideMark/>
          </w:tcPr>
          <w:p w:rsidR="00296E48" w:rsidRPr="00C66B91" w:rsidRDefault="00296E48" w:rsidP="00296E48">
            <w:pPr>
              <w:jc w:val="center"/>
              <w:rPr>
                <w:b/>
                <w:bCs/>
                <w:color w:val="000000"/>
                <w:sz w:val="22"/>
                <w:szCs w:val="22"/>
                <w:lang w:val="en-GB"/>
              </w:rPr>
            </w:pPr>
            <w:r w:rsidRPr="00C66B91">
              <w:rPr>
                <w:b/>
                <w:bCs/>
                <w:color w:val="000000"/>
                <w:sz w:val="22"/>
                <w:szCs w:val="22"/>
                <w:lang w:val="en-GB"/>
              </w:rPr>
              <w:t>BGN’000</w:t>
            </w:r>
          </w:p>
        </w:tc>
        <w:tc>
          <w:tcPr>
            <w:tcW w:w="1433" w:type="dxa"/>
            <w:tcBorders>
              <w:top w:val="nil"/>
              <w:left w:val="nil"/>
              <w:bottom w:val="single" w:sz="8" w:space="0" w:color="auto"/>
              <w:right w:val="nil"/>
            </w:tcBorders>
            <w:shd w:val="clear" w:color="auto" w:fill="auto"/>
            <w:noWrap/>
            <w:vAlign w:val="center"/>
            <w:hideMark/>
          </w:tcPr>
          <w:p w:rsidR="00296E48" w:rsidRPr="00C66B91" w:rsidRDefault="00296E48" w:rsidP="00296E48">
            <w:pPr>
              <w:jc w:val="center"/>
              <w:rPr>
                <w:b/>
                <w:bCs/>
                <w:color w:val="000000"/>
                <w:sz w:val="22"/>
                <w:szCs w:val="22"/>
                <w:lang w:val="en-GB"/>
              </w:rPr>
            </w:pPr>
            <w:r w:rsidRPr="00C66B91">
              <w:rPr>
                <w:b/>
                <w:bCs/>
                <w:color w:val="000000"/>
                <w:sz w:val="22"/>
                <w:szCs w:val="22"/>
                <w:lang w:val="en-GB"/>
              </w:rPr>
              <w:t>BGN’000</w:t>
            </w:r>
          </w:p>
        </w:tc>
        <w:tc>
          <w:tcPr>
            <w:tcW w:w="1559" w:type="dxa"/>
            <w:tcBorders>
              <w:top w:val="nil"/>
              <w:left w:val="nil"/>
              <w:bottom w:val="single" w:sz="8" w:space="0" w:color="auto"/>
              <w:right w:val="nil"/>
            </w:tcBorders>
            <w:shd w:val="clear" w:color="auto" w:fill="auto"/>
            <w:noWrap/>
            <w:vAlign w:val="center"/>
            <w:hideMark/>
          </w:tcPr>
          <w:p w:rsidR="00296E48" w:rsidRPr="00C66B91" w:rsidRDefault="00296E48" w:rsidP="00296E48">
            <w:pPr>
              <w:jc w:val="center"/>
              <w:rPr>
                <w:b/>
                <w:bCs/>
                <w:color w:val="000000"/>
                <w:sz w:val="22"/>
                <w:szCs w:val="22"/>
                <w:lang w:val="en-GB"/>
              </w:rPr>
            </w:pPr>
            <w:r w:rsidRPr="00C66B91">
              <w:rPr>
                <w:b/>
                <w:bCs/>
                <w:color w:val="000000"/>
                <w:sz w:val="22"/>
                <w:szCs w:val="22"/>
                <w:lang w:val="en-GB"/>
              </w:rPr>
              <w:t>BGN’000</w:t>
            </w:r>
          </w:p>
        </w:tc>
        <w:tc>
          <w:tcPr>
            <w:tcW w:w="1560" w:type="dxa"/>
            <w:tcBorders>
              <w:top w:val="nil"/>
              <w:left w:val="nil"/>
              <w:bottom w:val="single" w:sz="8" w:space="0" w:color="auto"/>
              <w:right w:val="nil"/>
            </w:tcBorders>
            <w:shd w:val="clear" w:color="auto" w:fill="auto"/>
            <w:noWrap/>
            <w:vAlign w:val="center"/>
            <w:hideMark/>
          </w:tcPr>
          <w:p w:rsidR="00296E48" w:rsidRPr="00C66B91" w:rsidRDefault="00296E48" w:rsidP="00296E48">
            <w:pPr>
              <w:jc w:val="center"/>
              <w:rPr>
                <w:b/>
                <w:bCs/>
                <w:color w:val="000000"/>
                <w:sz w:val="22"/>
                <w:szCs w:val="22"/>
                <w:lang w:val="en-GB"/>
              </w:rPr>
            </w:pPr>
            <w:r w:rsidRPr="00C66B91">
              <w:rPr>
                <w:b/>
                <w:bCs/>
                <w:color w:val="000000"/>
                <w:sz w:val="22"/>
                <w:szCs w:val="22"/>
                <w:lang w:val="en-GB"/>
              </w:rPr>
              <w:t>BGN’000</w:t>
            </w:r>
          </w:p>
        </w:tc>
        <w:tc>
          <w:tcPr>
            <w:tcW w:w="1417" w:type="dxa"/>
            <w:tcBorders>
              <w:top w:val="nil"/>
              <w:left w:val="nil"/>
              <w:bottom w:val="single" w:sz="8" w:space="0" w:color="auto"/>
              <w:right w:val="nil"/>
            </w:tcBorders>
            <w:shd w:val="clear" w:color="auto" w:fill="auto"/>
            <w:noWrap/>
            <w:vAlign w:val="center"/>
            <w:hideMark/>
          </w:tcPr>
          <w:p w:rsidR="00296E48" w:rsidRPr="00C66B91" w:rsidRDefault="00296E48" w:rsidP="00296E48">
            <w:pPr>
              <w:jc w:val="center"/>
              <w:rPr>
                <w:b/>
                <w:bCs/>
                <w:color w:val="000000"/>
                <w:sz w:val="22"/>
                <w:szCs w:val="22"/>
                <w:lang w:val="en-GB"/>
              </w:rPr>
            </w:pPr>
            <w:r w:rsidRPr="00C66B91">
              <w:rPr>
                <w:b/>
                <w:bCs/>
                <w:color w:val="000000"/>
                <w:sz w:val="22"/>
                <w:szCs w:val="22"/>
                <w:lang w:val="en-GB"/>
              </w:rPr>
              <w:t>BGN’000</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b/>
                <w:bCs/>
                <w:color w:val="000000"/>
                <w:sz w:val="22"/>
                <w:szCs w:val="22"/>
                <w:lang w:val="en-GB"/>
              </w:rPr>
            </w:pPr>
            <w:r w:rsidRPr="00C66B91">
              <w:rPr>
                <w:b/>
                <w:bCs/>
                <w:color w:val="000000"/>
                <w:sz w:val="22"/>
                <w:szCs w:val="22"/>
                <w:lang w:val="en-GB"/>
              </w:rPr>
              <w:t>Book value</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As at 1 January 2014</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2,055</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23,790</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7,699</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33,544</w:t>
            </w:r>
          </w:p>
        </w:tc>
      </w:tr>
      <w:tr w:rsidR="0011263B" w:rsidRPr="00C66B91" w:rsidTr="00296E48">
        <w:trPr>
          <w:trHeight w:val="300"/>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Acquired individually</w:t>
            </w:r>
          </w:p>
        </w:tc>
        <w:tc>
          <w:tcPr>
            <w:tcW w:w="1260"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w:t>
            </w:r>
          </w:p>
        </w:tc>
        <w:tc>
          <w:tcPr>
            <w:tcW w:w="1433"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162</w:t>
            </w:r>
          </w:p>
        </w:tc>
        <w:tc>
          <w:tcPr>
            <w:tcW w:w="1559"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7,784</w:t>
            </w:r>
          </w:p>
        </w:tc>
        <w:tc>
          <w:tcPr>
            <w:tcW w:w="1560"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3,407</w:t>
            </w:r>
          </w:p>
        </w:tc>
        <w:tc>
          <w:tcPr>
            <w:tcW w:w="1417" w:type="dxa"/>
            <w:tcBorders>
              <w:top w:val="nil"/>
              <w:left w:val="nil"/>
              <w:bottom w:val="nil"/>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11,353</w:t>
            </w:r>
          </w:p>
        </w:tc>
      </w:tr>
      <w:tr w:rsidR="0011263B" w:rsidRPr="00C66B91" w:rsidTr="00296E48">
        <w:trPr>
          <w:trHeight w:val="600"/>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Acquired through business combinations</w:t>
            </w:r>
          </w:p>
        </w:tc>
        <w:tc>
          <w:tcPr>
            <w:tcW w:w="1260"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63</w:t>
            </w:r>
          </w:p>
        </w:tc>
        <w:tc>
          <w:tcPr>
            <w:tcW w:w="1433"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1,125</w:t>
            </w:r>
          </w:p>
        </w:tc>
        <w:tc>
          <w:tcPr>
            <w:tcW w:w="1559"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1,393</w:t>
            </w:r>
          </w:p>
        </w:tc>
        <w:tc>
          <w:tcPr>
            <w:tcW w:w="1560"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1,353</w:t>
            </w:r>
          </w:p>
        </w:tc>
        <w:tc>
          <w:tcPr>
            <w:tcW w:w="1417" w:type="dxa"/>
            <w:tcBorders>
              <w:top w:val="nil"/>
              <w:left w:val="nil"/>
              <w:bottom w:val="nil"/>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3,934</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Written-off</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-9</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-2,975</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-12</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-2,996</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As of 31 December 2014</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63</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3,333</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29,992</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12,447</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45,835</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b/>
                <w:bCs/>
                <w:color w:val="000000"/>
                <w:sz w:val="22"/>
                <w:szCs w:val="22"/>
                <w:lang w:val="en-GB"/>
              </w:rPr>
            </w:pPr>
            <w:r w:rsidRPr="00C66B91">
              <w:rPr>
                <w:b/>
                <w:bCs/>
                <w:color w:val="000000"/>
                <w:sz w:val="22"/>
                <w:szCs w:val="22"/>
                <w:lang w:val="en-GB"/>
              </w:rPr>
              <w:t>Depreciation</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rPr>
                <w:b/>
                <w:bCs/>
                <w:color w:val="000000"/>
                <w:sz w:val="22"/>
                <w:szCs w:val="22"/>
                <w:lang w:val="en-GB"/>
              </w:rPr>
            </w:pPr>
            <w:r w:rsidRPr="00C66B91">
              <w:rPr>
                <w:b/>
                <w:bCs/>
                <w:color w:val="000000"/>
                <w:sz w:val="22"/>
                <w:szCs w:val="22"/>
                <w:lang w:val="en-GB"/>
              </w:rPr>
              <w:t> </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As of 1 January 2014</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1,704</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12,765</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4,404</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18,873</w:t>
            </w:r>
          </w:p>
        </w:tc>
      </w:tr>
      <w:tr w:rsidR="0011263B" w:rsidRPr="00C66B91" w:rsidTr="00296E48">
        <w:trPr>
          <w:trHeight w:val="600"/>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Depreciation for the year</w:t>
            </w:r>
          </w:p>
        </w:tc>
        <w:tc>
          <w:tcPr>
            <w:tcW w:w="1260"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3</w:t>
            </w:r>
          </w:p>
        </w:tc>
        <w:tc>
          <w:tcPr>
            <w:tcW w:w="1433"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199</w:t>
            </w:r>
          </w:p>
        </w:tc>
        <w:tc>
          <w:tcPr>
            <w:tcW w:w="1559"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3,250</w:t>
            </w:r>
          </w:p>
        </w:tc>
        <w:tc>
          <w:tcPr>
            <w:tcW w:w="1560"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1,038</w:t>
            </w:r>
          </w:p>
        </w:tc>
        <w:tc>
          <w:tcPr>
            <w:tcW w:w="1417" w:type="dxa"/>
            <w:tcBorders>
              <w:top w:val="nil"/>
              <w:left w:val="nil"/>
              <w:bottom w:val="nil"/>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4,490</w:t>
            </w:r>
          </w:p>
        </w:tc>
      </w:tr>
      <w:tr w:rsidR="0011263B" w:rsidRPr="00C66B91" w:rsidTr="00296E48">
        <w:trPr>
          <w:trHeight w:val="600"/>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Acquired through business combinations</w:t>
            </w:r>
          </w:p>
        </w:tc>
        <w:tc>
          <w:tcPr>
            <w:tcW w:w="1260"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34</w:t>
            </w:r>
          </w:p>
        </w:tc>
        <w:tc>
          <w:tcPr>
            <w:tcW w:w="1433"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710</w:t>
            </w:r>
          </w:p>
        </w:tc>
        <w:tc>
          <w:tcPr>
            <w:tcW w:w="1559"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211</w:t>
            </w:r>
          </w:p>
        </w:tc>
        <w:tc>
          <w:tcPr>
            <w:tcW w:w="1560"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846</w:t>
            </w:r>
          </w:p>
        </w:tc>
        <w:tc>
          <w:tcPr>
            <w:tcW w:w="1417" w:type="dxa"/>
            <w:tcBorders>
              <w:top w:val="nil"/>
              <w:left w:val="nil"/>
              <w:bottom w:val="nil"/>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1,801</w:t>
            </w:r>
          </w:p>
        </w:tc>
      </w:tr>
      <w:tr w:rsidR="0011263B" w:rsidRPr="00C66B91" w:rsidTr="00296E48">
        <w:trPr>
          <w:trHeight w:val="6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Written-off depreciation</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-9</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-2,970</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-2,979</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As of 31 December 2014</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37</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2604</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13256</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6288</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22,185</w:t>
            </w:r>
          </w:p>
        </w:tc>
      </w:tr>
      <w:tr w:rsidR="0011263B" w:rsidRPr="00C66B91" w:rsidTr="00296E48">
        <w:trPr>
          <w:trHeight w:val="585"/>
        </w:trPr>
        <w:tc>
          <w:tcPr>
            <w:tcW w:w="2552" w:type="dxa"/>
            <w:tcBorders>
              <w:top w:val="nil"/>
              <w:left w:val="nil"/>
              <w:bottom w:val="nil"/>
              <w:right w:val="nil"/>
            </w:tcBorders>
            <w:shd w:val="clear" w:color="auto" w:fill="auto"/>
            <w:vAlign w:val="center"/>
            <w:hideMark/>
          </w:tcPr>
          <w:p w:rsidR="0011263B" w:rsidRPr="00C66B91" w:rsidRDefault="0011263B" w:rsidP="0011263B">
            <w:pPr>
              <w:rPr>
                <w:b/>
                <w:bCs/>
                <w:color w:val="000000"/>
                <w:sz w:val="22"/>
                <w:szCs w:val="22"/>
                <w:lang w:val="en-GB"/>
              </w:rPr>
            </w:pPr>
            <w:r w:rsidRPr="00C66B91">
              <w:rPr>
                <w:b/>
                <w:bCs/>
                <w:color w:val="000000"/>
                <w:sz w:val="22"/>
                <w:szCs w:val="22"/>
                <w:lang w:val="en-GB"/>
              </w:rPr>
              <w:t>Book value</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As of 1 January 2014</w:t>
            </w:r>
          </w:p>
        </w:tc>
        <w:tc>
          <w:tcPr>
            <w:tcW w:w="1260"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w:t>
            </w:r>
          </w:p>
        </w:tc>
        <w:tc>
          <w:tcPr>
            <w:tcW w:w="1433"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351</w:t>
            </w:r>
          </w:p>
        </w:tc>
        <w:tc>
          <w:tcPr>
            <w:tcW w:w="1559"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11,025</w:t>
            </w:r>
          </w:p>
        </w:tc>
        <w:tc>
          <w:tcPr>
            <w:tcW w:w="1560"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3,295</w:t>
            </w:r>
          </w:p>
        </w:tc>
        <w:tc>
          <w:tcPr>
            <w:tcW w:w="1417"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14,671</w:t>
            </w:r>
          </w:p>
        </w:tc>
      </w:tr>
      <w:tr w:rsidR="0011263B" w:rsidRPr="00C66B91" w:rsidTr="00296E48">
        <w:trPr>
          <w:trHeight w:val="330"/>
        </w:trPr>
        <w:tc>
          <w:tcPr>
            <w:tcW w:w="2552" w:type="dxa"/>
            <w:tcBorders>
              <w:top w:val="nil"/>
              <w:left w:val="nil"/>
              <w:bottom w:val="nil"/>
              <w:right w:val="nil"/>
            </w:tcBorders>
            <w:shd w:val="clear" w:color="auto" w:fill="auto"/>
            <w:vAlign w:val="bottom"/>
            <w:hideMark/>
          </w:tcPr>
          <w:p w:rsidR="0011263B" w:rsidRPr="00C66B91" w:rsidRDefault="0011263B" w:rsidP="0011263B">
            <w:pPr>
              <w:jc w:val="right"/>
              <w:rPr>
                <w:b/>
                <w:bCs/>
                <w:color w:val="000000"/>
                <w:sz w:val="22"/>
                <w:szCs w:val="22"/>
                <w:lang w:val="en-GB"/>
              </w:rPr>
            </w:pP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As of 31 December 2014</w:t>
            </w:r>
          </w:p>
        </w:tc>
        <w:tc>
          <w:tcPr>
            <w:tcW w:w="1260"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26</w:t>
            </w:r>
          </w:p>
        </w:tc>
        <w:tc>
          <w:tcPr>
            <w:tcW w:w="1433"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729</w:t>
            </w:r>
          </w:p>
        </w:tc>
        <w:tc>
          <w:tcPr>
            <w:tcW w:w="1559"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16,736</w:t>
            </w:r>
          </w:p>
        </w:tc>
        <w:tc>
          <w:tcPr>
            <w:tcW w:w="1560"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6,159</w:t>
            </w:r>
          </w:p>
        </w:tc>
        <w:tc>
          <w:tcPr>
            <w:tcW w:w="1417"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23,650</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b/>
                <w:bCs/>
                <w:color w:val="000000"/>
                <w:sz w:val="22"/>
                <w:szCs w:val="22"/>
                <w:lang w:val="en-GB"/>
              </w:rPr>
            </w:pPr>
            <w:r w:rsidRPr="00C66B91">
              <w:rPr>
                <w:b/>
                <w:bCs/>
                <w:color w:val="000000"/>
                <w:sz w:val="22"/>
                <w:szCs w:val="22"/>
                <w:lang w:val="en-GB"/>
              </w:rPr>
              <w:t>Book value</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As of 1 January 2015</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63</w:t>
            </w:r>
          </w:p>
        </w:tc>
        <w:tc>
          <w:tcPr>
            <w:tcW w:w="1433"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3,333</w:t>
            </w:r>
          </w:p>
        </w:tc>
        <w:tc>
          <w:tcPr>
            <w:tcW w:w="1559"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29,992</w:t>
            </w:r>
          </w:p>
        </w:tc>
        <w:tc>
          <w:tcPr>
            <w:tcW w:w="1560"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12,447</w:t>
            </w:r>
          </w:p>
        </w:tc>
        <w:tc>
          <w:tcPr>
            <w:tcW w:w="1417"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45,835</w:t>
            </w:r>
          </w:p>
        </w:tc>
      </w:tr>
      <w:tr w:rsidR="0011263B" w:rsidRPr="00C66B91" w:rsidTr="00296E48">
        <w:trPr>
          <w:trHeight w:val="300"/>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xml:space="preserve">Acquired  </w:t>
            </w:r>
          </w:p>
        </w:tc>
        <w:tc>
          <w:tcPr>
            <w:tcW w:w="1260"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4</w:t>
            </w:r>
          </w:p>
        </w:tc>
        <w:tc>
          <w:tcPr>
            <w:tcW w:w="1433"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498</w:t>
            </w:r>
          </w:p>
        </w:tc>
        <w:tc>
          <w:tcPr>
            <w:tcW w:w="1559"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1,346</w:t>
            </w:r>
          </w:p>
        </w:tc>
        <w:tc>
          <w:tcPr>
            <w:tcW w:w="1560"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1,179</w:t>
            </w:r>
          </w:p>
        </w:tc>
        <w:tc>
          <w:tcPr>
            <w:tcW w:w="1417" w:type="dxa"/>
            <w:tcBorders>
              <w:top w:val="nil"/>
              <w:left w:val="nil"/>
              <w:bottom w:val="nil"/>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3,027</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Written-off</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-63</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-1,072</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-110</w:t>
            </w:r>
          </w:p>
        </w:tc>
        <w:tc>
          <w:tcPr>
            <w:tcW w:w="1417" w:type="dxa"/>
            <w:tcBorders>
              <w:top w:val="nil"/>
              <w:left w:val="nil"/>
              <w:bottom w:val="nil"/>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-1,245</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As of 30 June 2015</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67</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3,768</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30,266</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13,516</w:t>
            </w:r>
          </w:p>
        </w:tc>
        <w:tc>
          <w:tcPr>
            <w:tcW w:w="1417" w:type="dxa"/>
            <w:tcBorders>
              <w:top w:val="single" w:sz="8" w:space="0" w:color="auto"/>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47,617</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b/>
                <w:bCs/>
                <w:color w:val="000000"/>
                <w:sz w:val="22"/>
                <w:szCs w:val="22"/>
                <w:lang w:val="en-GB"/>
              </w:rPr>
            </w:pPr>
            <w:r w:rsidRPr="00C66B91">
              <w:rPr>
                <w:b/>
                <w:bCs/>
                <w:color w:val="000000"/>
                <w:sz w:val="22"/>
                <w:szCs w:val="22"/>
                <w:lang w:val="en-GB"/>
              </w:rPr>
              <w:t>Depreciation</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rPr>
                <w:b/>
                <w:bCs/>
                <w:color w:val="000000"/>
                <w:sz w:val="22"/>
                <w:szCs w:val="22"/>
                <w:lang w:val="en-GB"/>
              </w:rPr>
            </w:pPr>
            <w:r w:rsidRPr="00C66B91">
              <w:rPr>
                <w:b/>
                <w:bCs/>
                <w:color w:val="000000"/>
                <w:sz w:val="22"/>
                <w:szCs w:val="22"/>
                <w:lang w:val="en-GB"/>
              </w:rPr>
              <w:t> </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As of 1 January 2015</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37</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2,604</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13,256</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6,288</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22,185</w:t>
            </w:r>
          </w:p>
        </w:tc>
      </w:tr>
      <w:tr w:rsidR="0011263B" w:rsidRPr="00C66B91" w:rsidTr="00296E48">
        <w:trPr>
          <w:trHeight w:val="600"/>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Depreciation for the year</w:t>
            </w:r>
          </w:p>
        </w:tc>
        <w:tc>
          <w:tcPr>
            <w:tcW w:w="1260"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13</w:t>
            </w:r>
          </w:p>
        </w:tc>
        <w:tc>
          <w:tcPr>
            <w:tcW w:w="1433"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212</w:t>
            </w:r>
          </w:p>
        </w:tc>
        <w:tc>
          <w:tcPr>
            <w:tcW w:w="1559"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3,831</w:t>
            </w:r>
          </w:p>
        </w:tc>
        <w:tc>
          <w:tcPr>
            <w:tcW w:w="1560" w:type="dxa"/>
            <w:tcBorders>
              <w:top w:val="nil"/>
              <w:left w:val="nil"/>
              <w:bottom w:val="nil"/>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1,223</w:t>
            </w:r>
          </w:p>
        </w:tc>
        <w:tc>
          <w:tcPr>
            <w:tcW w:w="1417" w:type="dxa"/>
            <w:tcBorders>
              <w:top w:val="nil"/>
              <w:left w:val="nil"/>
              <w:bottom w:val="nil"/>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5,279</w:t>
            </w:r>
          </w:p>
        </w:tc>
      </w:tr>
      <w:tr w:rsidR="0011263B" w:rsidRPr="00C66B91" w:rsidTr="00296E48">
        <w:trPr>
          <w:trHeight w:val="6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Written-off depreciation</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-63</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-973</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-88</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-1,124</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As of 30 June 2015</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50</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2,753</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16,114</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7,423</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26,340</w:t>
            </w:r>
          </w:p>
        </w:tc>
      </w:tr>
      <w:tr w:rsidR="0011263B" w:rsidRPr="00C66B91" w:rsidTr="00296E48">
        <w:trPr>
          <w:trHeight w:val="585"/>
        </w:trPr>
        <w:tc>
          <w:tcPr>
            <w:tcW w:w="2552" w:type="dxa"/>
            <w:tcBorders>
              <w:top w:val="nil"/>
              <w:left w:val="nil"/>
              <w:bottom w:val="nil"/>
              <w:right w:val="nil"/>
            </w:tcBorders>
            <w:shd w:val="clear" w:color="auto" w:fill="auto"/>
            <w:vAlign w:val="center"/>
            <w:hideMark/>
          </w:tcPr>
          <w:p w:rsidR="0011263B" w:rsidRPr="00C66B91" w:rsidRDefault="0011263B" w:rsidP="0011263B">
            <w:pPr>
              <w:rPr>
                <w:b/>
                <w:bCs/>
                <w:color w:val="000000"/>
                <w:sz w:val="22"/>
                <w:szCs w:val="22"/>
                <w:lang w:val="en-GB"/>
              </w:rPr>
            </w:pPr>
            <w:r w:rsidRPr="00C66B91">
              <w:rPr>
                <w:b/>
                <w:bCs/>
                <w:color w:val="000000"/>
                <w:sz w:val="22"/>
                <w:szCs w:val="22"/>
                <w:lang w:val="en-GB"/>
              </w:rPr>
              <w:lastRenderedPageBreak/>
              <w:t>Book value</w:t>
            </w: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 </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As of 1 January 2015</w:t>
            </w:r>
          </w:p>
        </w:tc>
        <w:tc>
          <w:tcPr>
            <w:tcW w:w="1260"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26</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729</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16,736</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6,159</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23,650</w:t>
            </w:r>
          </w:p>
        </w:tc>
      </w:tr>
      <w:tr w:rsidR="0011263B" w:rsidRPr="00C66B91" w:rsidTr="00296E48">
        <w:trPr>
          <w:trHeight w:val="330"/>
        </w:trPr>
        <w:tc>
          <w:tcPr>
            <w:tcW w:w="2552" w:type="dxa"/>
            <w:tcBorders>
              <w:top w:val="nil"/>
              <w:left w:val="nil"/>
              <w:bottom w:val="nil"/>
              <w:right w:val="nil"/>
            </w:tcBorders>
            <w:shd w:val="clear" w:color="auto" w:fill="auto"/>
            <w:vAlign w:val="bottom"/>
            <w:hideMark/>
          </w:tcPr>
          <w:p w:rsidR="0011263B" w:rsidRPr="00C66B91" w:rsidRDefault="0011263B" w:rsidP="0011263B">
            <w:pPr>
              <w:jc w:val="right"/>
              <w:rPr>
                <w:b/>
                <w:bCs/>
                <w:color w:val="000000"/>
                <w:sz w:val="22"/>
                <w:szCs w:val="22"/>
                <w:lang w:val="en-GB"/>
              </w:rPr>
            </w:pPr>
          </w:p>
        </w:tc>
        <w:tc>
          <w:tcPr>
            <w:tcW w:w="12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color w:val="000000"/>
                <w:sz w:val="22"/>
                <w:szCs w:val="22"/>
                <w:lang w:val="en-GB"/>
              </w:rPr>
            </w:pPr>
            <w:r w:rsidRPr="00C66B91">
              <w:rPr>
                <w:color w:val="000000"/>
                <w:sz w:val="22"/>
                <w:szCs w:val="22"/>
                <w:lang w:val="en-GB"/>
              </w:rPr>
              <w:t> </w:t>
            </w:r>
          </w:p>
        </w:tc>
      </w:tr>
      <w:tr w:rsidR="0011263B" w:rsidRPr="00C66B91" w:rsidTr="00296E48">
        <w:trPr>
          <w:trHeight w:val="315"/>
        </w:trPr>
        <w:tc>
          <w:tcPr>
            <w:tcW w:w="2552" w:type="dxa"/>
            <w:tcBorders>
              <w:top w:val="nil"/>
              <w:left w:val="nil"/>
              <w:bottom w:val="nil"/>
              <w:right w:val="nil"/>
            </w:tcBorders>
            <w:shd w:val="clear" w:color="auto" w:fill="auto"/>
            <w:vAlign w:val="center"/>
            <w:hideMark/>
          </w:tcPr>
          <w:p w:rsidR="0011263B" w:rsidRPr="00C66B91" w:rsidRDefault="0011263B" w:rsidP="0011263B">
            <w:pPr>
              <w:rPr>
                <w:color w:val="000000"/>
                <w:sz w:val="22"/>
                <w:szCs w:val="22"/>
                <w:lang w:val="en-GB"/>
              </w:rPr>
            </w:pPr>
            <w:r w:rsidRPr="00C66B91">
              <w:rPr>
                <w:color w:val="000000"/>
                <w:sz w:val="22"/>
                <w:szCs w:val="22"/>
                <w:lang w:val="en-GB"/>
              </w:rPr>
              <w:t>As of 30 June 2015</w:t>
            </w:r>
          </w:p>
        </w:tc>
        <w:tc>
          <w:tcPr>
            <w:tcW w:w="1260" w:type="dxa"/>
            <w:tcBorders>
              <w:top w:val="nil"/>
              <w:left w:val="nil"/>
              <w:bottom w:val="double" w:sz="6"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17</w:t>
            </w:r>
          </w:p>
        </w:tc>
        <w:tc>
          <w:tcPr>
            <w:tcW w:w="1433"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1,015</w:t>
            </w:r>
          </w:p>
        </w:tc>
        <w:tc>
          <w:tcPr>
            <w:tcW w:w="1559"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14,152</w:t>
            </w:r>
          </w:p>
        </w:tc>
        <w:tc>
          <w:tcPr>
            <w:tcW w:w="1560"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6,093</w:t>
            </w:r>
          </w:p>
        </w:tc>
        <w:tc>
          <w:tcPr>
            <w:tcW w:w="1417" w:type="dxa"/>
            <w:tcBorders>
              <w:top w:val="nil"/>
              <w:left w:val="nil"/>
              <w:bottom w:val="single" w:sz="8" w:space="0" w:color="auto"/>
              <w:right w:val="nil"/>
            </w:tcBorders>
            <w:shd w:val="clear" w:color="auto" w:fill="auto"/>
            <w:vAlign w:val="center"/>
            <w:hideMark/>
          </w:tcPr>
          <w:p w:rsidR="0011263B" w:rsidRPr="00C66B91" w:rsidRDefault="0011263B" w:rsidP="0011263B">
            <w:pPr>
              <w:jc w:val="right"/>
              <w:rPr>
                <w:b/>
                <w:bCs/>
                <w:color w:val="000000"/>
                <w:sz w:val="22"/>
                <w:szCs w:val="22"/>
                <w:lang w:val="en-GB"/>
              </w:rPr>
            </w:pPr>
            <w:r w:rsidRPr="00C66B91">
              <w:rPr>
                <w:b/>
                <w:bCs/>
                <w:color w:val="000000"/>
                <w:sz w:val="22"/>
                <w:szCs w:val="22"/>
                <w:lang w:val="en-GB"/>
              </w:rPr>
              <w:t>21,277</w:t>
            </w:r>
          </w:p>
        </w:tc>
      </w:tr>
    </w:tbl>
    <w:p w:rsidR="00296E48" w:rsidRPr="00C66B91" w:rsidRDefault="00296E48" w:rsidP="00E922D1">
      <w:pPr>
        <w:autoSpaceDE w:val="0"/>
        <w:autoSpaceDN w:val="0"/>
        <w:adjustRightInd w:val="0"/>
        <w:jc w:val="both"/>
        <w:rPr>
          <w:sz w:val="22"/>
          <w:szCs w:val="22"/>
          <w:lang w:val="en-GB"/>
        </w:rPr>
      </w:pPr>
    </w:p>
    <w:p w:rsidR="00C66B91" w:rsidRPr="00C66B91" w:rsidRDefault="00C66B91" w:rsidP="00C66B91">
      <w:pPr>
        <w:pStyle w:val="Header"/>
        <w:jc w:val="both"/>
        <w:rPr>
          <w:sz w:val="22"/>
          <w:szCs w:val="22"/>
          <w:lang w:val="en-GB"/>
        </w:rPr>
      </w:pPr>
      <w:r w:rsidRPr="00C66B91">
        <w:rPr>
          <w:sz w:val="22"/>
          <w:szCs w:val="22"/>
          <w:lang w:val="en-GB"/>
        </w:rPr>
        <w:t>The assets purchased under financial lease agreements are pledged as a collateral for the obligations under the lease agreements/note 10/.</w:t>
      </w:r>
    </w:p>
    <w:p w:rsidR="00C66B91" w:rsidRPr="00C66B91" w:rsidRDefault="00C66B91" w:rsidP="00C66B91">
      <w:pPr>
        <w:pStyle w:val="Header"/>
        <w:jc w:val="both"/>
        <w:rPr>
          <w:sz w:val="22"/>
          <w:szCs w:val="22"/>
          <w:lang w:val="en-GB"/>
        </w:rPr>
      </w:pPr>
    </w:p>
    <w:p w:rsidR="00C66B91" w:rsidRPr="00C66B91" w:rsidRDefault="00C66B91" w:rsidP="00C66B91">
      <w:pPr>
        <w:pStyle w:val="Header"/>
        <w:jc w:val="both"/>
        <w:rPr>
          <w:sz w:val="22"/>
          <w:szCs w:val="22"/>
          <w:lang w:val="en-GB"/>
        </w:rPr>
      </w:pPr>
      <w:r w:rsidRPr="00C66B91">
        <w:rPr>
          <w:sz w:val="22"/>
          <w:szCs w:val="22"/>
          <w:lang w:val="en-GB"/>
        </w:rPr>
        <w:t>As of 30 June 2015, the Group has not non-operating assets.</w:t>
      </w:r>
    </w:p>
    <w:p w:rsidR="00C66B91" w:rsidRPr="00C66B91" w:rsidRDefault="00C66B91" w:rsidP="00C66B91">
      <w:pPr>
        <w:pStyle w:val="Header"/>
        <w:jc w:val="both"/>
        <w:rPr>
          <w:sz w:val="22"/>
          <w:szCs w:val="22"/>
          <w:lang w:val="en-GB"/>
        </w:rPr>
      </w:pPr>
    </w:p>
    <w:p w:rsidR="00C66B91" w:rsidRPr="00C66B91" w:rsidRDefault="00C66B91" w:rsidP="00C66B91">
      <w:pPr>
        <w:pStyle w:val="Header"/>
        <w:jc w:val="both"/>
        <w:rPr>
          <w:sz w:val="22"/>
          <w:szCs w:val="22"/>
          <w:lang w:val="en-GB"/>
        </w:rPr>
      </w:pPr>
      <w:r w:rsidRPr="00C66B91">
        <w:rPr>
          <w:sz w:val="22"/>
          <w:szCs w:val="22"/>
          <w:lang w:val="en-GB"/>
        </w:rPr>
        <w:tab/>
        <w:t>As of 30 June 2015, the Parent Company has entered into a contract for special pledge on assets purchased with proceeds of the investment credit obtained from UniCredit Bulbank AD on 27 November 2014 /note 11/.</w:t>
      </w:r>
    </w:p>
    <w:p w:rsidR="00C66B91" w:rsidRPr="00C66B91" w:rsidRDefault="00C66B91" w:rsidP="00C66B91">
      <w:pPr>
        <w:pStyle w:val="Header"/>
        <w:jc w:val="both"/>
        <w:rPr>
          <w:sz w:val="22"/>
          <w:szCs w:val="22"/>
          <w:lang w:val="en-GB"/>
        </w:rPr>
      </w:pPr>
      <w:r w:rsidRPr="00C66B91">
        <w:rPr>
          <w:sz w:val="22"/>
          <w:szCs w:val="22"/>
          <w:lang w:val="en-GB"/>
        </w:rPr>
        <w:tab/>
      </w:r>
    </w:p>
    <w:p w:rsidR="00E922D1" w:rsidRPr="00C66B91" w:rsidRDefault="00C66B91" w:rsidP="00C66B91">
      <w:pPr>
        <w:pStyle w:val="Header"/>
        <w:jc w:val="both"/>
        <w:rPr>
          <w:sz w:val="22"/>
          <w:szCs w:val="22"/>
          <w:lang w:val="en-GB"/>
        </w:rPr>
      </w:pPr>
      <w:r w:rsidRPr="00C66B91">
        <w:rPr>
          <w:sz w:val="22"/>
          <w:szCs w:val="22"/>
          <w:lang w:val="en-GB"/>
        </w:rPr>
        <w:t>As at 30 June 2015, the Group reviewed its buildings, plant and equipment, as a result of which it estimated that there are no basis for impairment.</w:t>
      </w:r>
    </w:p>
    <w:p w:rsidR="00296E48" w:rsidRPr="00C66B91" w:rsidRDefault="00296E48" w:rsidP="00E922D1">
      <w:pPr>
        <w:autoSpaceDE w:val="0"/>
        <w:autoSpaceDN w:val="0"/>
        <w:adjustRightInd w:val="0"/>
        <w:jc w:val="both"/>
        <w:rPr>
          <w:b/>
          <w:sz w:val="22"/>
          <w:szCs w:val="22"/>
          <w:lang w:val="en-GB"/>
        </w:rPr>
      </w:pPr>
    </w:p>
    <w:p w:rsidR="00E922D1" w:rsidRPr="00C66B91" w:rsidRDefault="00E922D1" w:rsidP="00E922D1">
      <w:pPr>
        <w:autoSpaceDE w:val="0"/>
        <w:autoSpaceDN w:val="0"/>
        <w:adjustRightInd w:val="0"/>
        <w:jc w:val="both"/>
        <w:rPr>
          <w:b/>
          <w:sz w:val="22"/>
          <w:szCs w:val="22"/>
          <w:lang w:val="en-GB"/>
        </w:rPr>
      </w:pPr>
      <w:r w:rsidRPr="00C66B91">
        <w:rPr>
          <w:b/>
          <w:sz w:val="22"/>
          <w:szCs w:val="22"/>
          <w:lang w:val="en-GB"/>
        </w:rPr>
        <w:t xml:space="preserve">4. </w:t>
      </w:r>
      <w:r w:rsidR="00C66B91" w:rsidRPr="00C66B91">
        <w:rPr>
          <w:b/>
          <w:sz w:val="22"/>
          <w:szCs w:val="22"/>
          <w:lang w:val="en-GB"/>
        </w:rPr>
        <w:t>INTANGIBLE ASSETS</w:t>
      </w:r>
    </w:p>
    <w:p w:rsidR="00E922D1" w:rsidRPr="00C66B91" w:rsidRDefault="00E922D1" w:rsidP="00E922D1">
      <w:pPr>
        <w:autoSpaceDE w:val="0"/>
        <w:autoSpaceDN w:val="0"/>
        <w:adjustRightInd w:val="0"/>
        <w:jc w:val="both"/>
        <w:rPr>
          <w:sz w:val="22"/>
          <w:szCs w:val="22"/>
          <w:lang w:val="en-GB"/>
        </w:rPr>
      </w:pPr>
    </w:p>
    <w:p w:rsidR="00296E48" w:rsidRDefault="00C66B91" w:rsidP="00E922D1">
      <w:pPr>
        <w:autoSpaceDE w:val="0"/>
        <w:autoSpaceDN w:val="0"/>
        <w:adjustRightInd w:val="0"/>
        <w:jc w:val="both"/>
        <w:rPr>
          <w:sz w:val="22"/>
          <w:szCs w:val="22"/>
          <w:lang w:val="en-GB"/>
        </w:rPr>
      </w:pPr>
      <w:r w:rsidRPr="00C66B91">
        <w:rPr>
          <w:sz w:val="22"/>
          <w:szCs w:val="22"/>
          <w:lang w:val="en-GB"/>
        </w:rPr>
        <w:t>The intangible assets of the Group consist of goodwill, software and other intangible assets, whose book value for the presented periods can be analysed as follows:</w:t>
      </w:r>
    </w:p>
    <w:p w:rsidR="00C66B91" w:rsidRPr="00C66B91" w:rsidRDefault="00C66B91" w:rsidP="00E922D1">
      <w:pPr>
        <w:autoSpaceDE w:val="0"/>
        <w:autoSpaceDN w:val="0"/>
        <w:adjustRightInd w:val="0"/>
        <w:jc w:val="both"/>
        <w:rPr>
          <w:sz w:val="22"/>
          <w:szCs w:val="22"/>
          <w:lang w:val="en-GB"/>
        </w:rPr>
      </w:pPr>
    </w:p>
    <w:tbl>
      <w:tblPr>
        <w:tblW w:w="9072" w:type="dxa"/>
        <w:tblLook w:val="04A0" w:firstRow="1" w:lastRow="0" w:firstColumn="1" w:lastColumn="0" w:noHBand="0" w:noVBand="1"/>
      </w:tblPr>
      <w:tblGrid>
        <w:gridCol w:w="2835"/>
        <w:gridCol w:w="1560"/>
        <w:gridCol w:w="1417"/>
        <w:gridCol w:w="1701"/>
        <w:gridCol w:w="1559"/>
      </w:tblGrid>
      <w:tr w:rsidR="00C66B91" w:rsidRPr="00C66B91" w:rsidTr="00296E48">
        <w:trPr>
          <w:trHeight w:val="465"/>
        </w:trPr>
        <w:tc>
          <w:tcPr>
            <w:tcW w:w="2835" w:type="dxa"/>
            <w:tcBorders>
              <w:top w:val="nil"/>
              <w:left w:val="nil"/>
              <w:bottom w:val="nil"/>
              <w:right w:val="nil"/>
            </w:tcBorders>
            <w:shd w:val="clear" w:color="auto" w:fill="auto"/>
            <w:noWrap/>
            <w:vAlign w:val="center"/>
            <w:hideMark/>
          </w:tcPr>
          <w:p w:rsidR="00C66B91" w:rsidRPr="00C66B91" w:rsidRDefault="00C66B91" w:rsidP="00C66B91">
            <w:pPr>
              <w:rPr>
                <w:sz w:val="20"/>
                <w:szCs w:val="20"/>
                <w:lang w:val="en-GB"/>
              </w:rPr>
            </w:pPr>
          </w:p>
        </w:tc>
        <w:tc>
          <w:tcPr>
            <w:tcW w:w="1560" w:type="dxa"/>
            <w:tcBorders>
              <w:top w:val="nil"/>
              <w:left w:val="nil"/>
              <w:bottom w:val="single" w:sz="8" w:space="0" w:color="auto"/>
              <w:right w:val="nil"/>
            </w:tcBorders>
            <w:shd w:val="clear" w:color="auto" w:fill="auto"/>
            <w:noWrap/>
            <w:vAlign w:val="center"/>
            <w:hideMark/>
          </w:tcPr>
          <w:p w:rsidR="00C66B91" w:rsidRPr="005E30E6" w:rsidRDefault="00C66B91" w:rsidP="00C66B91">
            <w:pPr>
              <w:jc w:val="center"/>
              <w:rPr>
                <w:b/>
                <w:bCs/>
                <w:color w:val="000000"/>
                <w:sz w:val="22"/>
                <w:szCs w:val="22"/>
              </w:rPr>
            </w:pPr>
            <w:r w:rsidRPr="005E30E6">
              <w:rPr>
                <w:b/>
                <w:bCs/>
                <w:color w:val="000000"/>
                <w:sz w:val="22"/>
                <w:szCs w:val="22"/>
              </w:rPr>
              <w:t>Goodwill</w:t>
            </w:r>
          </w:p>
        </w:tc>
        <w:tc>
          <w:tcPr>
            <w:tcW w:w="1417" w:type="dxa"/>
            <w:tcBorders>
              <w:top w:val="nil"/>
              <w:left w:val="nil"/>
              <w:bottom w:val="single" w:sz="8" w:space="0" w:color="auto"/>
              <w:right w:val="nil"/>
            </w:tcBorders>
            <w:shd w:val="clear" w:color="auto" w:fill="auto"/>
            <w:vAlign w:val="center"/>
            <w:hideMark/>
          </w:tcPr>
          <w:p w:rsidR="00C66B91" w:rsidRPr="005E30E6" w:rsidRDefault="00C66B91" w:rsidP="00C66B91">
            <w:pPr>
              <w:jc w:val="center"/>
              <w:rPr>
                <w:b/>
                <w:bCs/>
                <w:color w:val="241E1C"/>
                <w:sz w:val="22"/>
                <w:szCs w:val="22"/>
              </w:rPr>
            </w:pPr>
            <w:r w:rsidRPr="005E30E6">
              <w:rPr>
                <w:b/>
                <w:bCs/>
                <w:color w:val="241E1C"/>
                <w:sz w:val="22"/>
                <w:szCs w:val="22"/>
              </w:rPr>
              <w:t>Software</w:t>
            </w:r>
          </w:p>
        </w:tc>
        <w:tc>
          <w:tcPr>
            <w:tcW w:w="1701" w:type="dxa"/>
            <w:tcBorders>
              <w:top w:val="nil"/>
              <w:left w:val="nil"/>
              <w:bottom w:val="single" w:sz="8" w:space="0" w:color="auto"/>
              <w:right w:val="nil"/>
            </w:tcBorders>
            <w:shd w:val="clear" w:color="auto" w:fill="auto"/>
            <w:vAlign w:val="center"/>
            <w:hideMark/>
          </w:tcPr>
          <w:p w:rsidR="00C66B91" w:rsidRPr="005E30E6" w:rsidRDefault="00C66B91" w:rsidP="00C66B91">
            <w:pPr>
              <w:jc w:val="center"/>
              <w:rPr>
                <w:b/>
                <w:bCs/>
                <w:color w:val="241E1C"/>
                <w:sz w:val="22"/>
                <w:szCs w:val="22"/>
              </w:rPr>
            </w:pPr>
            <w:r w:rsidRPr="005E30E6">
              <w:rPr>
                <w:b/>
                <w:bCs/>
                <w:color w:val="241E1C"/>
                <w:sz w:val="22"/>
                <w:szCs w:val="22"/>
              </w:rPr>
              <w:t>Other intangible assets</w:t>
            </w:r>
          </w:p>
        </w:tc>
        <w:tc>
          <w:tcPr>
            <w:tcW w:w="1559" w:type="dxa"/>
            <w:tcBorders>
              <w:top w:val="nil"/>
              <w:left w:val="nil"/>
              <w:bottom w:val="single" w:sz="8" w:space="0" w:color="auto"/>
              <w:right w:val="nil"/>
            </w:tcBorders>
            <w:shd w:val="clear" w:color="auto" w:fill="auto"/>
            <w:vAlign w:val="center"/>
            <w:hideMark/>
          </w:tcPr>
          <w:p w:rsidR="00C66B91" w:rsidRPr="005E30E6" w:rsidRDefault="00C66B91" w:rsidP="00C66B91">
            <w:pPr>
              <w:jc w:val="center"/>
              <w:rPr>
                <w:b/>
                <w:bCs/>
                <w:color w:val="241E1C"/>
                <w:sz w:val="22"/>
                <w:szCs w:val="22"/>
              </w:rPr>
            </w:pPr>
            <w:r w:rsidRPr="005E30E6">
              <w:rPr>
                <w:b/>
                <w:bCs/>
                <w:color w:val="241E1C"/>
                <w:sz w:val="22"/>
                <w:szCs w:val="22"/>
              </w:rPr>
              <w:t xml:space="preserve">Total </w:t>
            </w:r>
          </w:p>
        </w:tc>
      </w:tr>
      <w:tr w:rsidR="00296E48" w:rsidRPr="00C66B91" w:rsidTr="00296E48">
        <w:trPr>
          <w:trHeight w:val="465"/>
        </w:trPr>
        <w:tc>
          <w:tcPr>
            <w:tcW w:w="2835" w:type="dxa"/>
            <w:tcBorders>
              <w:top w:val="nil"/>
              <w:left w:val="nil"/>
              <w:bottom w:val="nil"/>
              <w:right w:val="nil"/>
            </w:tcBorders>
            <w:shd w:val="clear" w:color="auto" w:fill="auto"/>
            <w:vAlign w:val="bottom"/>
            <w:hideMark/>
          </w:tcPr>
          <w:p w:rsidR="00296E48" w:rsidRPr="00C66B91" w:rsidRDefault="00296E48" w:rsidP="00296E48">
            <w:pPr>
              <w:jc w:val="center"/>
              <w:rPr>
                <w:b/>
                <w:bCs/>
                <w:color w:val="241E1C"/>
                <w:sz w:val="22"/>
                <w:szCs w:val="22"/>
                <w:lang w:val="en-GB"/>
              </w:rPr>
            </w:pPr>
          </w:p>
        </w:tc>
        <w:tc>
          <w:tcPr>
            <w:tcW w:w="1560" w:type="dxa"/>
            <w:tcBorders>
              <w:top w:val="nil"/>
              <w:left w:val="nil"/>
              <w:bottom w:val="nil"/>
              <w:right w:val="nil"/>
            </w:tcBorders>
            <w:shd w:val="clear" w:color="auto" w:fill="auto"/>
            <w:noWrap/>
            <w:vAlign w:val="center"/>
            <w:hideMark/>
          </w:tcPr>
          <w:p w:rsidR="00296E48" w:rsidRPr="00C66B91" w:rsidRDefault="00296E48" w:rsidP="00296E48">
            <w:pPr>
              <w:jc w:val="center"/>
              <w:rPr>
                <w:b/>
                <w:bCs/>
                <w:color w:val="000000"/>
                <w:sz w:val="22"/>
                <w:szCs w:val="22"/>
                <w:lang w:val="en-GB"/>
              </w:rPr>
            </w:pPr>
            <w:r w:rsidRPr="00C66B91">
              <w:rPr>
                <w:b/>
                <w:bCs/>
                <w:color w:val="000000"/>
                <w:sz w:val="22"/>
                <w:szCs w:val="22"/>
                <w:lang w:val="en-GB"/>
              </w:rPr>
              <w:t>BGN’000</w:t>
            </w:r>
          </w:p>
        </w:tc>
        <w:tc>
          <w:tcPr>
            <w:tcW w:w="1417" w:type="dxa"/>
            <w:tcBorders>
              <w:top w:val="nil"/>
              <w:left w:val="nil"/>
              <w:bottom w:val="nil"/>
              <w:right w:val="nil"/>
            </w:tcBorders>
            <w:shd w:val="clear" w:color="auto" w:fill="auto"/>
            <w:noWrap/>
            <w:vAlign w:val="center"/>
            <w:hideMark/>
          </w:tcPr>
          <w:p w:rsidR="00296E48" w:rsidRPr="00C66B91" w:rsidRDefault="00296E48" w:rsidP="00296E48">
            <w:pPr>
              <w:jc w:val="center"/>
              <w:rPr>
                <w:b/>
                <w:bCs/>
                <w:color w:val="000000"/>
                <w:sz w:val="22"/>
                <w:szCs w:val="22"/>
                <w:lang w:val="en-GB"/>
              </w:rPr>
            </w:pPr>
            <w:r w:rsidRPr="00C66B91">
              <w:rPr>
                <w:b/>
                <w:bCs/>
                <w:color w:val="000000"/>
                <w:sz w:val="22"/>
                <w:szCs w:val="22"/>
                <w:lang w:val="en-GB"/>
              </w:rPr>
              <w:t>BGN’000</w:t>
            </w:r>
          </w:p>
        </w:tc>
        <w:tc>
          <w:tcPr>
            <w:tcW w:w="1701" w:type="dxa"/>
            <w:tcBorders>
              <w:top w:val="nil"/>
              <w:left w:val="nil"/>
              <w:bottom w:val="nil"/>
              <w:right w:val="nil"/>
            </w:tcBorders>
            <w:shd w:val="clear" w:color="auto" w:fill="auto"/>
            <w:noWrap/>
            <w:vAlign w:val="center"/>
            <w:hideMark/>
          </w:tcPr>
          <w:p w:rsidR="00296E48" w:rsidRPr="00C66B91" w:rsidRDefault="00296E48" w:rsidP="00296E48">
            <w:pPr>
              <w:jc w:val="center"/>
              <w:rPr>
                <w:b/>
                <w:bCs/>
                <w:color w:val="000000"/>
                <w:sz w:val="22"/>
                <w:szCs w:val="22"/>
                <w:lang w:val="en-GB"/>
              </w:rPr>
            </w:pPr>
            <w:r w:rsidRPr="00C66B91">
              <w:rPr>
                <w:b/>
                <w:bCs/>
                <w:color w:val="000000"/>
                <w:sz w:val="22"/>
                <w:szCs w:val="22"/>
                <w:lang w:val="en-GB"/>
              </w:rPr>
              <w:t>BGN’000</w:t>
            </w:r>
          </w:p>
        </w:tc>
        <w:tc>
          <w:tcPr>
            <w:tcW w:w="1559" w:type="dxa"/>
            <w:tcBorders>
              <w:top w:val="nil"/>
              <w:left w:val="nil"/>
              <w:bottom w:val="nil"/>
              <w:right w:val="nil"/>
            </w:tcBorders>
            <w:shd w:val="clear" w:color="auto" w:fill="auto"/>
            <w:noWrap/>
            <w:vAlign w:val="center"/>
            <w:hideMark/>
          </w:tcPr>
          <w:p w:rsidR="00296E48" w:rsidRPr="00C66B91" w:rsidRDefault="00296E48" w:rsidP="00296E48">
            <w:pPr>
              <w:jc w:val="center"/>
              <w:rPr>
                <w:b/>
                <w:bCs/>
                <w:color w:val="000000"/>
                <w:sz w:val="22"/>
                <w:szCs w:val="22"/>
                <w:lang w:val="en-GB"/>
              </w:rPr>
            </w:pPr>
            <w:r w:rsidRPr="00C66B91">
              <w:rPr>
                <w:b/>
                <w:bCs/>
                <w:color w:val="000000"/>
                <w:sz w:val="22"/>
                <w:szCs w:val="22"/>
                <w:lang w:val="en-GB"/>
              </w:rPr>
              <w:t>BGN’000</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b/>
                <w:bCs/>
                <w:color w:val="000000"/>
                <w:sz w:val="22"/>
                <w:szCs w:val="22"/>
              </w:rPr>
            </w:pPr>
            <w:r w:rsidRPr="00C66B91">
              <w:rPr>
                <w:b/>
                <w:bCs/>
                <w:color w:val="000000"/>
                <w:sz w:val="22"/>
                <w:szCs w:val="22"/>
              </w:rPr>
              <w:t>Book value</w:t>
            </w:r>
          </w:p>
        </w:tc>
        <w:tc>
          <w:tcPr>
            <w:tcW w:w="1560" w:type="dxa"/>
            <w:tcBorders>
              <w:top w:val="nil"/>
              <w:left w:val="nil"/>
              <w:bottom w:val="nil"/>
              <w:right w:val="nil"/>
            </w:tcBorders>
            <w:shd w:val="clear" w:color="auto" w:fill="auto"/>
            <w:hideMark/>
          </w:tcPr>
          <w:p w:rsidR="00C66B91" w:rsidRPr="00C66B91" w:rsidRDefault="00C66B91" w:rsidP="00C66B91">
            <w:pPr>
              <w:rPr>
                <w:b/>
                <w:bCs/>
                <w:color w:val="000000"/>
                <w:sz w:val="22"/>
                <w:szCs w:val="22"/>
                <w:lang w:val="en-GB"/>
              </w:rPr>
            </w:pPr>
          </w:p>
        </w:tc>
        <w:tc>
          <w:tcPr>
            <w:tcW w:w="1417" w:type="dxa"/>
            <w:tcBorders>
              <w:top w:val="nil"/>
              <w:left w:val="nil"/>
              <w:bottom w:val="nil"/>
              <w:right w:val="nil"/>
            </w:tcBorders>
            <w:shd w:val="clear" w:color="auto" w:fill="auto"/>
            <w:hideMark/>
          </w:tcPr>
          <w:p w:rsidR="00C66B91" w:rsidRPr="00C66B91" w:rsidRDefault="00C66B91" w:rsidP="00C66B91">
            <w:pPr>
              <w:rPr>
                <w:sz w:val="20"/>
                <w:szCs w:val="20"/>
                <w:lang w:val="en-GB"/>
              </w:rPr>
            </w:pPr>
          </w:p>
        </w:tc>
        <w:tc>
          <w:tcPr>
            <w:tcW w:w="1701" w:type="dxa"/>
            <w:tcBorders>
              <w:top w:val="nil"/>
              <w:left w:val="nil"/>
              <w:bottom w:val="nil"/>
              <w:right w:val="nil"/>
            </w:tcBorders>
            <w:shd w:val="clear" w:color="auto" w:fill="auto"/>
            <w:hideMark/>
          </w:tcPr>
          <w:p w:rsidR="00C66B91" w:rsidRPr="00C66B91" w:rsidRDefault="00C66B91" w:rsidP="00C66B91">
            <w:pPr>
              <w:rPr>
                <w:sz w:val="20"/>
                <w:szCs w:val="20"/>
                <w:lang w:val="en-GB"/>
              </w:rPr>
            </w:pPr>
          </w:p>
        </w:tc>
        <w:tc>
          <w:tcPr>
            <w:tcW w:w="1559" w:type="dxa"/>
            <w:tcBorders>
              <w:top w:val="nil"/>
              <w:left w:val="nil"/>
              <w:bottom w:val="nil"/>
              <w:right w:val="nil"/>
            </w:tcBorders>
            <w:shd w:val="clear" w:color="auto" w:fill="auto"/>
            <w:hideMark/>
          </w:tcPr>
          <w:p w:rsidR="00C66B91" w:rsidRPr="00C66B91" w:rsidRDefault="00C66B91" w:rsidP="00C66B91">
            <w:pPr>
              <w:rPr>
                <w:sz w:val="20"/>
                <w:szCs w:val="20"/>
                <w:lang w:val="en-GB"/>
              </w:rPr>
            </w:pP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 xml:space="preserve">As </w:t>
            </w:r>
            <w:r>
              <w:rPr>
                <w:color w:val="000000"/>
                <w:sz w:val="22"/>
                <w:szCs w:val="22"/>
              </w:rPr>
              <w:t>of</w:t>
            </w:r>
            <w:r w:rsidRPr="005E30E6">
              <w:rPr>
                <w:color w:val="000000"/>
                <w:sz w:val="22"/>
                <w:szCs w:val="22"/>
              </w:rPr>
              <w:t xml:space="preserve"> 1 January 2014</w:t>
            </w:r>
          </w:p>
        </w:tc>
        <w:tc>
          <w:tcPr>
            <w:tcW w:w="1560"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 </w:t>
            </w:r>
          </w:p>
        </w:tc>
        <w:tc>
          <w:tcPr>
            <w:tcW w:w="1417"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2,621</w:t>
            </w:r>
          </w:p>
        </w:tc>
        <w:tc>
          <w:tcPr>
            <w:tcW w:w="1701"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 </w:t>
            </w:r>
          </w:p>
        </w:tc>
        <w:tc>
          <w:tcPr>
            <w:tcW w:w="1559"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2,621</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Acquired individually</w:t>
            </w:r>
          </w:p>
        </w:tc>
        <w:tc>
          <w:tcPr>
            <w:tcW w:w="1560"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417"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285</w:t>
            </w:r>
          </w:p>
        </w:tc>
        <w:tc>
          <w:tcPr>
            <w:tcW w:w="1701"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559" w:type="dxa"/>
            <w:tcBorders>
              <w:top w:val="nil"/>
              <w:left w:val="nil"/>
              <w:bottom w:val="nil"/>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285</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Acquired through business combinations</w:t>
            </w:r>
          </w:p>
        </w:tc>
        <w:tc>
          <w:tcPr>
            <w:tcW w:w="1560"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10,360</w:t>
            </w:r>
          </w:p>
        </w:tc>
        <w:tc>
          <w:tcPr>
            <w:tcW w:w="1417"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1,377</w:t>
            </w:r>
          </w:p>
        </w:tc>
        <w:tc>
          <w:tcPr>
            <w:tcW w:w="1701"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8,722</w:t>
            </w:r>
          </w:p>
        </w:tc>
        <w:tc>
          <w:tcPr>
            <w:tcW w:w="1559" w:type="dxa"/>
            <w:tcBorders>
              <w:top w:val="nil"/>
              <w:left w:val="nil"/>
              <w:bottom w:val="nil"/>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20,459</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Written-off</w:t>
            </w:r>
          </w:p>
        </w:tc>
        <w:tc>
          <w:tcPr>
            <w:tcW w:w="1560"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417"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-29</w:t>
            </w:r>
          </w:p>
        </w:tc>
        <w:tc>
          <w:tcPr>
            <w:tcW w:w="1701"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559" w:type="dxa"/>
            <w:tcBorders>
              <w:top w:val="nil"/>
              <w:left w:val="nil"/>
              <w:bottom w:val="nil"/>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-29</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 xml:space="preserve">As </w:t>
            </w:r>
            <w:r w:rsidRPr="00C66B91">
              <w:rPr>
                <w:color w:val="000000"/>
                <w:sz w:val="22"/>
                <w:szCs w:val="22"/>
              </w:rPr>
              <w:t xml:space="preserve">of </w:t>
            </w:r>
            <w:r w:rsidRPr="005E30E6">
              <w:rPr>
                <w:color w:val="000000"/>
                <w:sz w:val="22"/>
                <w:szCs w:val="22"/>
              </w:rPr>
              <w:t>31 December 2014</w:t>
            </w:r>
          </w:p>
        </w:tc>
        <w:tc>
          <w:tcPr>
            <w:tcW w:w="1560"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10,360</w:t>
            </w:r>
          </w:p>
        </w:tc>
        <w:tc>
          <w:tcPr>
            <w:tcW w:w="1417"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4,254</w:t>
            </w:r>
          </w:p>
        </w:tc>
        <w:tc>
          <w:tcPr>
            <w:tcW w:w="1701"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8,722</w:t>
            </w:r>
          </w:p>
        </w:tc>
        <w:tc>
          <w:tcPr>
            <w:tcW w:w="1559"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23,336</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b/>
                <w:bCs/>
                <w:color w:val="000000"/>
                <w:sz w:val="22"/>
                <w:szCs w:val="22"/>
              </w:rPr>
            </w:pPr>
            <w:r w:rsidRPr="00C66B91">
              <w:rPr>
                <w:b/>
                <w:bCs/>
                <w:color w:val="000000"/>
                <w:sz w:val="22"/>
                <w:szCs w:val="22"/>
              </w:rPr>
              <w:t>Depreciation</w:t>
            </w:r>
          </w:p>
        </w:tc>
        <w:tc>
          <w:tcPr>
            <w:tcW w:w="1560" w:type="dxa"/>
            <w:tcBorders>
              <w:top w:val="nil"/>
              <w:left w:val="nil"/>
              <w:bottom w:val="nil"/>
              <w:right w:val="nil"/>
            </w:tcBorders>
            <w:shd w:val="clear" w:color="auto" w:fill="auto"/>
            <w:vAlign w:val="center"/>
            <w:hideMark/>
          </w:tcPr>
          <w:p w:rsidR="00C66B91" w:rsidRPr="00C66B91" w:rsidRDefault="00C66B91" w:rsidP="00C66B91">
            <w:pPr>
              <w:rPr>
                <w:b/>
                <w:bCs/>
                <w:color w:val="000000"/>
                <w:sz w:val="22"/>
                <w:szCs w:val="22"/>
                <w:lang w:val="en-GB"/>
              </w:rPr>
            </w:pPr>
          </w:p>
        </w:tc>
        <w:tc>
          <w:tcPr>
            <w:tcW w:w="1417" w:type="dxa"/>
            <w:tcBorders>
              <w:top w:val="nil"/>
              <w:left w:val="nil"/>
              <w:bottom w:val="nil"/>
              <w:right w:val="nil"/>
            </w:tcBorders>
            <w:shd w:val="clear" w:color="auto" w:fill="auto"/>
            <w:vAlign w:val="center"/>
            <w:hideMark/>
          </w:tcPr>
          <w:p w:rsidR="00C66B91" w:rsidRPr="00C66B91" w:rsidRDefault="00C66B91" w:rsidP="00C66B91">
            <w:pPr>
              <w:rPr>
                <w:sz w:val="20"/>
                <w:szCs w:val="20"/>
                <w:lang w:val="en-GB"/>
              </w:rPr>
            </w:pPr>
          </w:p>
        </w:tc>
        <w:tc>
          <w:tcPr>
            <w:tcW w:w="1701" w:type="dxa"/>
            <w:tcBorders>
              <w:top w:val="nil"/>
              <w:left w:val="nil"/>
              <w:bottom w:val="nil"/>
              <w:right w:val="nil"/>
            </w:tcBorders>
            <w:shd w:val="clear" w:color="auto" w:fill="auto"/>
            <w:vAlign w:val="center"/>
            <w:hideMark/>
          </w:tcPr>
          <w:p w:rsidR="00C66B91" w:rsidRPr="00C66B91" w:rsidRDefault="00C66B91" w:rsidP="00C66B91">
            <w:pPr>
              <w:rPr>
                <w:sz w:val="20"/>
                <w:szCs w:val="20"/>
                <w:lang w:val="en-GB"/>
              </w:rPr>
            </w:pPr>
          </w:p>
        </w:tc>
        <w:tc>
          <w:tcPr>
            <w:tcW w:w="1559" w:type="dxa"/>
            <w:tcBorders>
              <w:top w:val="nil"/>
              <w:left w:val="nil"/>
              <w:bottom w:val="nil"/>
              <w:right w:val="nil"/>
            </w:tcBorders>
            <w:shd w:val="clear" w:color="auto" w:fill="auto"/>
            <w:vAlign w:val="center"/>
            <w:hideMark/>
          </w:tcPr>
          <w:p w:rsidR="00C66B91" w:rsidRPr="00C66B91" w:rsidRDefault="00C66B91" w:rsidP="00C66B91">
            <w:pPr>
              <w:rPr>
                <w:sz w:val="20"/>
                <w:szCs w:val="20"/>
                <w:lang w:val="en-GB"/>
              </w:rPr>
            </w:pP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 xml:space="preserve">As </w:t>
            </w:r>
            <w:r w:rsidRPr="00C66B91">
              <w:rPr>
                <w:color w:val="000000"/>
                <w:sz w:val="22"/>
                <w:szCs w:val="22"/>
              </w:rPr>
              <w:t xml:space="preserve">of </w:t>
            </w:r>
            <w:r w:rsidRPr="005E30E6">
              <w:rPr>
                <w:color w:val="000000"/>
                <w:sz w:val="22"/>
                <w:szCs w:val="22"/>
              </w:rPr>
              <w:t>1 January 2014</w:t>
            </w:r>
          </w:p>
        </w:tc>
        <w:tc>
          <w:tcPr>
            <w:tcW w:w="1560"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 </w:t>
            </w:r>
          </w:p>
        </w:tc>
        <w:tc>
          <w:tcPr>
            <w:tcW w:w="1417"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2,013</w:t>
            </w:r>
          </w:p>
        </w:tc>
        <w:tc>
          <w:tcPr>
            <w:tcW w:w="1701"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 </w:t>
            </w:r>
          </w:p>
        </w:tc>
        <w:tc>
          <w:tcPr>
            <w:tcW w:w="1559"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2,013</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C66B91">
              <w:rPr>
                <w:color w:val="000000"/>
                <w:sz w:val="22"/>
                <w:szCs w:val="22"/>
              </w:rPr>
              <w:t xml:space="preserve">Depreciation </w:t>
            </w:r>
            <w:r w:rsidRPr="005E30E6">
              <w:rPr>
                <w:color w:val="000000"/>
                <w:sz w:val="22"/>
                <w:szCs w:val="22"/>
              </w:rPr>
              <w:t>for the year</w:t>
            </w:r>
          </w:p>
        </w:tc>
        <w:tc>
          <w:tcPr>
            <w:tcW w:w="1560"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417"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486</w:t>
            </w:r>
          </w:p>
        </w:tc>
        <w:tc>
          <w:tcPr>
            <w:tcW w:w="1701"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46</w:t>
            </w:r>
          </w:p>
        </w:tc>
        <w:tc>
          <w:tcPr>
            <w:tcW w:w="1559" w:type="dxa"/>
            <w:tcBorders>
              <w:top w:val="nil"/>
              <w:left w:val="nil"/>
              <w:bottom w:val="nil"/>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532</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Acquired through business combinations</w:t>
            </w:r>
          </w:p>
        </w:tc>
        <w:tc>
          <w:tcPr>
            <w:tcW w:w="1560"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417"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211</w:t>
            </w:r>
          </w:p>
        </w:tc>
        <w:tc>
          <w:tcPr>
            <w:tcW w:w="1701"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559" w:type="dxa"/>
            <w:tcBorders>
              <w:top w:val="nil"/>
              <w:left w:val="nil"/>
              <w:bottom w:val="nil"/>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211</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Written-off</w:t>
            </w:r>
          </w:p>
        </w:tc>
        <w:tc>
          <w:tcPr>
            <w:tcW w:w="1560"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417"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701"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559" w:type="dxa"/>
            <w:tcBorders>
              <w:top w:val="nil"/>
              <w:left w:val="nil"/>
              <w:bottom w:val="nil"/>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 xml:space="preserve">As </w:t>
            </w:r>
            <w:r w:rsidRPr="00C66B91">
              <w:rPr>
                <w:color w:val="000000"/>
                <w:sz w:val="22"/>
                <w:szCs w:val="22"/>
              </w:rPr>
              <w:t xml:space="preserve">of </w:t>
            </w:r>
            <w:r w:rsidRPr="005E30E6">
              <w:rPr>
                <w:color w:val="000000"/>
                <w:sz w:val="22"/>
                <w:szCs w:val="22"/>
              </w:rPr>
              <w:t>31 December 2014</w:t>
            </w:r>
          </w:p>
        </w:tc>
        <w:tc>
          <w:tcPr>
            <w:tcW w:w="1560"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 </w:t>
            </w:r>
          </w:p>
        </w:tc>
        <w:tc>
          <w:tcPr>
            <w:tcW w:w="1417"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2,710</w:t>
            </w:r>
          </w:p>
        </w:tc>
        <w:tc>
          <w:tcPr>
            <w:tcW w:w="1701"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46</w:t>
            </w:r>
          </w:p>
        </w:tc>
        <w:tc>
          <w:tcPr>
            <w:tcW w:w="1559"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2,756</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b/>
                <w:bCs/>
                <w:color w:val="000000"/>
                <w:sz w:val="22"/>
                <w:szCs w:val="22"/>
              </w:rPr>
            </w:pPr>
            <w:r w:rsidRPr="00C66B91">
              <w:rPr>
                <w:b/>
                <w:bCs/>
                <w:color w:val="000000"/>
                <w:sz w:val="22"/>
                <w:szCs w:val="22"/>
              </w:rPr>
              <w:t>Book value</w:t>
            </w:r>
          </w:p>
        </w:tc>
        <w:tc>
          <w:tcPr>
            <w:tcW w:w="1560" w:type="dxa"/>
            <w:tcBorders>
              <w:top w:val="nil"/>
              <w:left w:val="nil"/>
              <w:bottom w:val="nil"/>
              <w:right w:val="nil"/>
            </w:tcBorders>
            <w:shd w:val="clear" w:color="auto" w:fill="auto"/>
            <w:vAlign w:val="center"/>
            <w:hideMark/>
          </w:tcPr>
          <w:p w:rsidR="00C66B91" w:rsidRPr="00C66B91" w:rsidRDefault="00C66B91" w:rsidP="00C66B91">
            <w:pPr>
              <w:rPr>
                <w:b/>
                <w:bCs/>
                <w:color w:val="000000"/>
                <w:sz w:val="22"/>
                <w:szCs w:val="22"/>
                <w:lang w:val="en-GB"/>
              </w:rPr>
            </w:pPr>
          </w:p>
        </w:tc>
        <w:tc>
          <w:tcPr>
            <w:tcW w:w="1417" w:type="dxa"/>
            <w:tcBorders>
              <w:top w:val="nil"/>
              <w:left w:val="nil"/>
              <w:bottom w:val="nil"/>
              <w:right w:val="nil"/>
            </w:tcBorders>
            <w:shd w:val="clear" w:color="auto" w:fill="auto"/>
            <w:vAlign w:val="center"/>
            <w:hideMark/>
          </w:tcPr>
          <w:p w:rsidR="00C66B91" w:rsidRPr="00C66B91" w:rsidRDefault="00C66B91" w:rsidP="00C66B91">
            <w:pPr>
              <w:rPr>
                <w:sz w:val="20"/>
                <w:szCs w:val="20"/>
                <w:lang w:val="en-GB"/>
              </w:rPr>
            </w:pPr>
          </w:p>
        </w:tc>
        <w:tc>
          <w:tcPr>
            <w:tcW w:w="1701" w:type="dxa"/>
            <w:tcBorders>
              <w:top w:val="nil"/>
              <w:left w:val="nil"/>
              <w:bottom w:val="nil"/>
              <w:right w:val="nil"/>
            </w:tcBorders>
            <w:shd w:val="clear" w:color="auto" w:fill="auto"/>
            <w:vAlign w:val="center"/>
            <w:hideMark/>
          </w:tcPr>
          <w:p w:rsidR="00C66B91" w:rsidRPr="00C66B91" w:rsidRDefault="00C66B91" w:rsidP="00C66B91">
            <w:pPr>
              <w:rPr>
                <w:sz w:val="20"/>
                <w:szCs w:val="20"/>
                <w:lang w:val="en-GB"/>
              </w:rPr>
            </w:pPr>
          </w:p>
        </w:tc>
        <w:tc>
          <w:tcPr>
            <w:tcW w:w="1559" w:type="dxa"/>
            <w:tcBorders>
              <w:top w:val="nil"/>
              <w:left w:val="nil"/>
              <w:bottom w:val="nil"/>
              <w:right w:val="nil"/>
            </w:tcBorders>
            <w:shd w:val="clear" w:color="auto" w:fill="auto"/>
            <w:vAlign w:val="center"/>
            <w:hideMark/>
          </w:tcPr>
          <w:p w:rsidR="00C66B91" w:rsidRPr="00C66B91" w:rsidRDefault="00C66B91" w:rsidP="00C66B91">
            <w:pPr>
              <w:rPr>
                <w:sz w:val="20"/>
                <w:szCs w:val="20"/>
                <w:lang w:val="en-GB"/>
              </w:rPr>
            </w:pP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lastRenderedPageBreak/>
              <w:t xml:space="preserve">As </w:t>
            </w:r>
            <w:r w:rsidRPr="00C66B91">
              <w:rPr>
                <w:color w:val="000000"/>
                <w:sz w:val="22"/>
                <w:szCs w:val="22"/>
              </w:rPr>
              <w:t xml:space="preserve">of </w:t>
            </w:r>
            <w:r w:rsidRPr="005E30E6">
              <w:rPr>
                <w:color w:val="000000"/>
                <w:sz w:val="22"/>
                <w:szCs w:val="22"/>
              </w:rPr>
              <w:t>1 January 2014</w:t>
            </w:r>
          </w:p>
        </w:tc>
        <w:tc>
          <w:tcPr>
            <w:tcW w:w="1560"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 </w:t>
            </w:r>
          </w:p>
        </w:tc>
        <w:tc>
          <w:tcPr>
            <w:tcW w:w="1417"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608</w:t>
            </w:r>
          </w:p>
        </w:tc>
        <w:tc>
          <w:tcPr>
            <w:tcW w:w="1701"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 </w:t>
            </w:r>
          </w:p>
        </w:tc>
        <w:tc>
          <w:tcPr>
            <w:tcW w:w="1559"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608</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 xml:space="preserve">As </w:t>
            </w:r>
            <w:r w:rsidRPr="00C66B91">
              <w:rPr>
                <w:color w:val="000000"/>
                <w:sz w:val="22"/>
                <w:szCs w:val="22"/>
              </w:rPr>
              <w:t xml:space="preserve">of </w:t>
            </w:r>
            <w:r w:rsidRPr="005E30E6">
              <w:rPr>
                <w:color w:val="000000"/>
                <w:sz w:val="22"/>
                <w:szCs w:val="22"/>
              </w:rPr>
              <w:t>31 December 2014</w:t>
            </w:r>
          </w:p>
        </w:tc>
        <w:tc>
          <w:tcPr>
            <w:tcW w:w="1560" w:type="dxa"/>
            <w:tcBorders>
              <w:top w:val="nil"/>
              <w:left w:val="nil"/>
              <w:bottom w:val="double" w:sz="6"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10,360</w:t>
            </w:r>
          </w:p>
        </w:tc>
        <w:tc>
          <w:tcPr>
            <w:tcW w:w="1417" w:type="dxa"/>
            <w:tcBorders>
              <w:top w:val="nil"/>
              <w:left w:val="nil"/>
              <w:bottom w:val="double" w:sz="6"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1,544</w:t>
            </w:r>
          </w:p>
        </w:tc>
        <w:tc>
          <w:tcPr>
            <w:tcW w:w="1701" w:type="dxa"/>
            <w:tcBorders>
              <w:top w:val="nil"/>
              <w:left w:val="nil"/>
              <w:bottom w:val="double" w:sz="6"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8,676</w:t>
            </w:r>
          </w:p>
        </w:tc>
        <w:tc>
          <w:tcPr>
            <w:tcW w:w="1559" w:type="dxa"/>
            <w:tcBorders>
              <w:top w:val="nil"/>
              <w:left w:val="nil"/>
              <w:bottom w:val="double" w:sz="6"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20,580</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b/>
                <w:bCs/>
                <w:color w:val="000000"/>
                <w:sz w:val="22"/>
                <w:szCs w:val="22"/>
              </w:rPr>
            </w:pPr>
            <w:r w:rsidRPr="00C66B91">
              <w:rPr>
                <w:b/>
                <w:bCs/>
                <w:color w:val="000000"/>
                <w:sz w:val="22"/>
                <w:szCs w:val="22"/>
              </w:rPr>
              <w:t>Book value</w:t>
            </w:r>
          </w:p>
        </w:tc>
        <w:tc>
          <w:tcPr>
            <w:tcW w:w="1560" w:type="dxa"/>
            <w:tcBorders>
              <w:top w:val="nil"/>
              <w:left w:val="nil"/>
              <w:bottom w:val="nil"/>
              <w:right w:val="nil"/>
            </w:tcBorders>
            <w:shd w:val="clear" w:color="auto" w:fill="auto"/>
            <w:hideMark/>
          </w:tcPr>
          <w:p w:rsidR="00C66B91" w:rsidRPr="00C66B91" w:rsidRDefault="00C66B91" w:rsidP="00C66B91">
            <w:pPr>
              <w:rPr>
                <w:b/>
                <w:bCs/>
                <w:color w:val="000000"/>
                <w:sz w:val="22"/>
                <w:szCs w:val="22"/>
                <w:lang w:val="en-GB"/>
              </w:rPr>
            </w:pPr>
          </w:p>
        </w:tc>
        <w:tc>
          <w:tcPr>
            <w:tcW w:w="1417" w:type="dxa"/>
            <w:tcBorders>
              <w:top w:val="nil"/>
              <w:left w:val="nil"/>
              <w:bottom w:val="nil"/>
              <w:right w:val="nil"/>
            </w:tcBorders>
            <w:shd w:val="clear" w:color="auto" w:fill="auto"/>
            <w:hideMark/>
          </w:tcPr>
          <w:p w:rsidR="00C66B91" w:rsidRPr="00C66B91" w:rsidRDefault="00C66B91" w:rsidP="00C66B91">
            <w:pPr>
              <w:rPr>
                <w:sz w:val="20"/>
                <w:szCs w:val="20"/>
                <w:lang w:val="en-GB"/>
              </w:rPr>
            </w:pPr>
          </w:p>
        </w:tc>
        <w:tc>
          <w:tcPr>
            <w:tcW w:w="1701" w:type="dxa"/>
            <w:tcBorders>
              <w:top w:val="nil"/>
              <w:left w:val="nil"/>
              <w:bottom w:val="nil"/>
              <w:right w:val="nil"/>
            </w:tcBorders>
            <w:shd w:val="clear" w:color="auto" w:fill="auto"/>
            <w:hideMark/>
          </w:tcPr>
          <w:p w:rsidR="00C66B91" w:rsidRPr="00C66B91" w:rsidRDefault="00C66B91" w:rsidP="00C66B91">
            <w:pPr>
              <w:rPr>
                <w:sz w:val="20"/>
                <w:szCs w:val="20"/>
                <w:lang w:val="en-GB"/>
              </w:rPr>
            </w:pPr>
          </w:p>
        </w:tc>
        <w:tc>
          <w:tcPr>
            <w:tcW w:w="1559" w:type="dxa"/>
            <w:tcBorders>
              <w:top w:val="nil"/>
              <w:left w:val="nil"/>
              <w:bottom w:val="nil"/>
              <w:right w:val="nil"/>
            </w:tcBorders>
            <w:shd w:val="clear" w:color="auto" w:fill="auto"/>
            <w:hideMark/>
          </w:tcPr>
          <w:p w:rsidR="00C66B91" w:rsidRPr="00C66B91" w:rsidRDefault="00C66B91" w:rsidP="00C66B91">
            <w:pPr>
              <w:rPr>
                <w:sz w:val="20"/>
                <w:szCs w:val="20"/>
                <w:lang w:val="en-GB"/>
              </w:rPr>
            </w:pP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 xml:space="preserve">As </w:t>
            </w:r>
            <w:r w:rsidRPr="00C66B91">
              <w:rPr>
                <w:color w:val="000000"/>
                <w:sz w:val="22"/>
                <w:szCs w:val="22"/>
              </w:rPr>
              <w:t xml:space="preserve">of </w:t>
            </w:r>
            <w:r w:rsidRPr="005E30E6">
              <w:rPr>
                <w:color w:val="000000"/>
                <w:sz w:val="22"/>
                <w:szCs w:val="22"/>
              </w:rPr>
              <w:t>1 January 2015</w:t>
            </w:r>
          </w:p>
        </w:tc>
        <w:tc>
          <w:tcPr>
            <w:tcW w:w="1560"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10,360</w:t>
            </w:r>
          </w:p>
        </w:tc>
        <w:tc>
          <w:tcPr>
            <w:tcW w:w="1417"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4,254</w:t>
            </w:r>
          </w:p>
        </w:tc>
        <w:tc>
          <w:tcPr>
            <w:tcW w:w="1701"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8,722</w:t>
            </w:r>
          </w:p>
        </w:tc>
        <w:tc>
          <w:tcPr>
            <w:tcW w:w="1559"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23,336</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 xml:space="preserve">Acquired </w:t>
            </w:r>
          </w:p>
        </w:tc>
        <w:tc>
          <w:tcPr>
            <w:tcW w:w="1560"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417"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2,660</w:t>
            </w:r>
          </w:p>
        </w:tc>
        <w:tc>
          <w:tcPr>
            <w:tcW w:w="1701"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559" w:type="dxa"/>
            <w:tcBorders>
              <w:top w:val="nil"/>
              <w:left w:val="nil"/>
              <w:bottom w:val="nil"/>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2,660</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Written-off</w:t>
            </w:r>
          </w:p>
        </w:tc>
        <w:tc>
          <w:tcPr>
            <w:tcW w:w="1560"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417"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701"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559" w:type="dxa"/>
            <w:tcBorders>
              <w:top w:val="nil"/>
              <w:left w:val="nil"/>
              <w:bottom w:val="nil"/>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 xml:space="preserve">As </w:t>
            </w:r>
            <w:r w:rsidRPr="00C66B91">
              <w:rPr>
                <w:color w:val="000000"/>
                <w:sz w:val="22"/>
                <w:szCs w:val="22"/>
              </w:rPr>
              <w:t xml:space="preserve">of 30 June </w:t>
            </w:r>
            <w:r w:rsidRPr="005E30E6">
              <w:rPr>
                <w:color w:val="000000"/>
                <w:sz w:val="22"/>
                <w:szCs w:val="22"/>
              </w:rPr>
              <w:t>2015</w:t>
            </w:r>
          </w:p>
        </w:tc>
        <w:tc>
          <w:tcPr>
            <w:tcW w:w="1560"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10,360</w:t>
            </w:r>
          </w:p>
        </w:tc>
        <w:tc>
          <w:tcPr>
            <w:tcW w:w="1417"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6,914</w:t>
            </w:r>
          </w:p>
        </w:tc>
        <w:tc>
          <w:tcPr>
            <w:tcW w:w="1701"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8,722</w:t>
            </w:r>
          </w:p>
        </w:tc>
        <w:tc>
          <w:tcPr>
            <w:tcW w:w="1559"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25,996</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b/>
                <w:bCs/>
                <w:color w:val="000000"/>
                <w:sz w:val="22"/>
                <w:szCs w:val="22"/>
              </w:rPr>
            </w:pPr>
            <w:r w:rsidRPr="00C66B91">
              <w:rPr>
                <w:b/>
                <w:bCs/>
                <w:color w:val="000000"/>
                <w:sz w:val="22"/>
                <w:szCs w:val="22"/>
              </w:rPr>
              <w:t>Depreciation</w:t>
            </w:r>
          </w:p>
        </w:tc>
        <w:tc>
          <w:tcPr>
            <w:tcW w:w="1560" w:type="dxa"/>
            <w:tcBorders>
              <w:top w:val="nil"/>
              <w:left w:val="nil"/>
              <w:bottom w:val="nil"/>
              <w:right w:val="nil"/>
            </w:tcBorders>
            <w:shd w:val="clear" w:color="auto" w:fill="auto"/>
            <w:vAlign w:val="center"/>
            <w:hideMark/>
          </w:tcPr>
          <w:p w:rsidR="00C66B91" w:rsidRPr="00C66B91" w:rsidRDefault="00C66B91" w:rsidP="00C66B91">
            <w:pPr>
              <w:rPr>
                <w:b/>
                <w:bCs/>
                <w:color w:val="000000"/>
                <w:sz w:val="22"/>
                <w:szCs w:val="22"/>
                <w:lang w:val="en-GB"/>
              </w:rPr>
            </w:pPr>
          </w:p>
        </w:tc>
        <w:tc>
          <w:tcPr>
            <w:tcW w:w="1417" w:type="dxa"/>
            <w:tcBorders>
              <w:top w:val="nil"/>
              <w:left w:val="nil"/>
              <w:bottom w:val="nil"/>
              <w:right w:val="nil"/>
            </w:tcBorders>
            <w:shd w:val="clear" w:color="auto" w:fill="auto"/>
            <w:vAlign w:val="center"/>
            <w:hideMark/>
          </w:tcPr>
          <w:p w:rsidR="00C66B91" w:rsidRPr="00C66B91" w:rsidRDefault="00C66B91" w:rsidP="00C66B91">
            <w:pPr>
              <w:rPr>
                <w:sz w:val="20"/>
                <w:szCs w:val="20"/>
                <w:lang w:val="en-GB"/>
              </w:rPr>
            </w:pPr>
          </w:p>
        </w:tc>
        <w:tc>
          <w:tcPr>
            <w:tcW w:w="1701" w:type="dxa"/>
            <w:tcBorders>
              <w:top w:val="nil"/>
              <w:left w:val="nil"/>
              <w:bottom w:val="nil"/>
              <w:right w:val="nil"/>
            </w:tcBorders>
            <w:shd w:val="clear" w:color="auto" w:fill="auto"/>
            <w:vAlign w:val="center"/>
            <w:hideMark/>
          </w:tcPr>
          <w:p w:rsidR="00C66B91" w:rsidRPr="00C66B91" w:rsidRDefault="00C66B91" w:rsidP="00C66B91">
            <w:pPr>
              <w:rPr>
                <w:sz w:val="20"/>
                <w:szCs w:val="20"/>
                <w:lang w:val="en-GB"/>
              </w:rPr>
            </w:pPr>
          </w:p>
        </w:tc>
        <w:tc>
          <w:tcPr>
            <w:tcW w:w="1559" w:type="dxa"/>
            <w:tcBorders>
              <w:top w:val="nil"/>
              <w:left w:val="nil"/>
              <w:bottom w:val="nil"/>
              <w:right w:val="nil"/>
            </w:tcBorders>
            <w:shd w:val="clear" w:color="auto" w:fill="auto"/>
            <w:vAlign w:val="center"/>
            <w:hideMark/>
          </w:tcPr>
          <w:p w:rsidR="00C66B91" w:rsidRPr="00C66B91" w:rsidRDefault="00C66B91" w:rsidP="00C66B91">
            <w:pPr>
              <w:rPr>
                <w:sz w:val="20"/>
                <w:szCs w:val="20"/>
                <w:lang w:val="en-GB"/>
              </w:rPr>
            </w:pP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 xml:space="preserve">As </w:t>
            </w:r>
            <w:r w:rsidRPr="00C66B91">
              <w:rPr>
                <w:color w:val="000000"/>
                <w:sz w:val="22"/>
                <w:szCs w:val="22"/>
              </w:rPr>
              <w:t xml:space="preserve">of </w:t>
            </w:r>
            <w:r w:rsidRPr="005E30E6">
              <w:rPr>
                <w:color w:val="000000"/>
                <w:sz w:val="22"/>
                <w:szCs w:val="22"/>
              </w:rPr>
              <w:t>1 January 2015</w:t>
            </w:r>
          </w:p>
        </w:tc>
        <w:tc>
          <w:tcPr>
            <w:tcW w:w="1560"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 </w:t>
            </w:r>
          </w:p>
        </w:tc>
        <w:tc>
          <w:tcPr>
            <w:tcW w:w="1417"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2,710</w:t>
            </w:r>
          </w:p>
        </w:tc>
        <w:tc>
          <w:tcPr>
            <w:tcW w:w="1701"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46</w:t>
            </w:r>
          </w:p>
        </w:tc>
        <w:tc>
          <w:tcPr>
            <w:tcW w:w="1559"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2,756</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C66B91">
              <w:rPr>
                <w:color w:val="000000"/>
                <w:sz w:val="22"/>
                <w:szCs w:val="22"/>
              </w:rPr>
              <w:t xml:space="preserve">Depreciation </w:t>
            </w:r>
            <w:r w:rsidRPr="005E30E6">
              <w:rPr>
                <w:color w:val="000000"/>
                <w:sz w:val="22"/>
                <w:szCs w:val="22"/>
              </w:rPr>
              <w:t>for the year</w:t>
            </w:r>
          </w:p>
        </w:tc>
        <w:tc>
          <w:tcPr>
            <w:tcW w:w="1560"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417"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361</w:t>
            </w:r>
          </w:p>
        </w:tc>
        <w:tc>
          <w:tcPr>
            <w:tcW w:w="1701"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274</w:t>
            </w:r>
          </w:p>
        </w:tc>
        <w:tc>
          <w:tcPr>
            <w:tcW w:w="1559" w:type="dxa"/>
            <w:tcBorders>
              <w:top w:val="nil"/>
              <w:left w:val="nil"/>
              <w:bottom w:val="nil"/>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635</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Written-off</w:t>
            </w:r>
          </w:p>
        </w:tc>
        <w:tc>
          <w:tcPr>
            <w:tcW w:w="1560"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417"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701" w:type="dxa"/>
            <w:tcBorders>
              <w:top w:val="nil"/>
              <w:left w:val="nil"/>
              <w:bottom w:val="nil"/>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w:t>
            </w:r>
          </w:p>
        </w:tc>
        <w:tc>
          <w:tcPr>
            <w:tcW w:w="1559" w:type="dxa"/>
            <w:tcBorders>
              <w:top w:val="nil"/>
              <w:left w:val="nil"/>
              <w:bottom w:val="nil"/>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 xml:space="preserve">As </w:t>
            </w:r>
            <w:r w:rsidRPr="00C66B91">
              <w:rPr>
                <w:color w:val="000000"/>
                <w:sz w:val="22"/>
                <w:szCs w:val="22"/>
              </w:rPr>
              <w:t xml:space="preserve">of 30 June </w:t>
            </w:r>
            <w:r w:rsidRPr="005E30E6">
              <w:rPr>
                <w:color w:val="000000"/>
                <w:sz w:val="22"/>
                <w:szCs w:val="22"/>
              </w:rPr>
              <w:t>2015</w:t>
            </w:r>
          </w:p>
        </w:tc>
        <w:tc>
          <w:tcPr>
            <w:tcW w:w="1560"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 </w:t>
            </w:r>
          </w:p>
        </w:tc>
        <w:tc>
          <w:tcPr>
            <w:tcW w:w="1417"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3,071</w:t>
            </w:r>
          </w:p>
        </w:tc>
        <w:tc>
          <w:tcPr>
            <w:tcW w:w="1701"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color w:val="000000"/>
                <w:sz w:val="22"/>
                <w:szCs w:val="22"/>
                <w:lang w:val="en-GB"/>
              </w:rPr>
            </w:pPr>
            <w:r w:rsidRPr="00C66B91">
              <w:rPr>
                <w:color w:val="000000"/>
                <w:sz w:val="22"/>
                <w:szCs w:val="22"/>
                <w:lang w:val="en-GB"/>
              </w:rPr>
              <w:t>320</w:t>
            </w:r>
          </w:p>
        </w:tc>
        <w:tc>
          <w:tcPr>
            <w:tcW w:w="1559"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3,391</w:t>
            </w:r>
          </w:p>
        </w:tc>
      </w:tr>
      <w:tr w:rsidR="00C66B91" w:rsidRPr="00C66B91" w:rsidTr="00296E48">
        <w:trPr>
          <w:trHeight w:val="465"/>
        </w:trPr>
        <w:tc>
          <w:tcPr>
            <w:tcW w:w="2835" w:type="dxa"/>
            <w:tcBorders>
              <w:top w:val="nil"/>
              <w:left w:val="nil"/>
              <w:bottom w:val="nil"/>
              <w:right w:val="nil"/>
            </w:tcBorders>
            <w:shd w:val="clear" w:color="auto" w:fill="auto"/>
            <w:vAlign w:val="center"/>
            <w:hideMark/>
          </w:tcPr>
          <w:p w:rsidR="00C66B91" w:rsidRPr="005E30E6" w:rsidRDefault="00C66B91" w:rsidP="00C66B91">
            <w:pPr>
              <w:rPr>
                <w:b/>
                <w:bCs/>
                <w:color w:val="000000"/>
                <w:sz w:val="22"/>
                <w:szCs w:val="22"/>
              </w:rPr>
            </w:pPr>
            <w:r w:rsidRPr="00C66B91">
              <w:rPr>
                <w:b/>
                <w:bCs/>
                <w:color w:val="000000"/>
                <w:sz w:val="22"/>
                <w:szCs w:val="22"/>
              </w:rPr>
              <w:t>Book value</w:t>
            </w:r>
          </w:p>
        </w:tc>
        <w:tc>
          <w:tcPr>
            <w:tcW w:w="1560" w:type="dxa"/>
            <w:tcBorders>
              <w:top w:val="nil"/>
              <w:left w:val="nil"/>
              <w:bottom w:val="nil"/>
              <w:right w:val="nil"/>
            </w:tcBorders>
            <w:shd w:val="clear" w:color="auto" w:fill="auto"/>
            <w:vAlign w:val="center"/>
            <w:hideMark/>
          </w:tcPr>
          <w:p w:rsidR="00C66B91" w:rsidRPr="00C66B91" w:rsidRDefault="00C66B91" w:rsidP="00C66B91">
            <w:pPr>
              <w:rPr>
                <w:b/>
                <w:bCs/>
                <w:color w:val="000000"/>
                <w:sz w:val="22"/>
                <w:szCs w:val="22"/>
                <w:lang w:val="en-GB"/>
              </w:rPr>
            </w:pPr>
          </w:p>
        </w:tc>
        <w:tc>
          <w:tcPr>
            <w:tcW w:w="1417" w:type="dxa"/>
            <w:tcBorders>
              <w:top w:val="nil"/>
              <w:left w:val="nil"/>
              <w:bottom w:val="nil"/>
              <w:right w:val="nil"/>
            </w:tcBorders>
            <w:shd w:val="clear" w:color="auto" w:fill="auto"/>
            <w:vAlign w:val="center"/>
            <w:hideMark/>
          </w:tcPr>
          <w:p w:rsidR="00C66B91" w:rsidRPr="00C66B91" w:rsidRDefault="00C66B91" w:rsidP="00C66B91">
            <w:pPr>
              <w:rPr>
                <w:sz w:val="20"/>
                <w:szCs w:val="20"/>
                <w:lang w:val="en-GB"/>
              </w:rPr>
            </w:pPr>
          </w:p>
        </w:tc>
        <w:tc>
          <w:tcPr>
            <w:tcW w:w="1701" w:type="dxa"/>
            <w:tcBorders>
              <w:top w:val="nil"/>
              <w:left w:val="nil"/>
              <w:bottom w:val="nil"/>
              <w:right w:val="nil"/>
            </w:tcBorders>
            <w:shd w:val="clear" w:color="auto" w:fill="auto"/>
            <w:vAlign w:val="center"/>
            <w:hideMark/>
          </w:tcPr>
          <w:p w:rsidR="00C66B91" w:rsidRPr="00C66B91" w:rsidRDefault="00C66B91" w:rsidP="00C66B91">
            <w:pPr>
              <w:rPr>
                <w:sz w:val="20"/>
                <w:szCs w:val="20"/>
                <w:lang w:val="en-GB"/>
              </w:rPr>
            </w:pPr>
          </w:p>
        </w:tc>
        <w:tc>
          <w:tcPr>
            <w:tcW w:w="1559" w:type="dxa"/>
            <w:tcBorders>
              <w:top w:val="nil"/>
              <w:left w:val="nil"/>
              <w:bottom w:val="nil"/>
              <w:right w:val="nil"/>
            </w:tcBorders>
            <w:shd w:val="clear" w:color="auto" w:fill="auto"/>
            <w:vAlign w:val="center"/>
            <w:hideMark/>
          </w:tcPr>
          <w:p w:rsidR="00C66B91" w:rsidRPr="00C66B91" w:rsidRDefault="00C66B91" w:rsidP="00C66B91">
            <w:pPr>
              <w:rPr>
                <w:sz w:val="20"/>
                <w:szCs w:val="20"/>
                <w:lang w:val="en-GB"/>
              </w:rPr>
            </w:pPr>
          </w:p>
        </w:tc>
      </w:tr>
      <w:tr w:rsidR="00C66B91" w:rsidRPr="00C66B91" w:rsidTr="00296E48">
        <w:trPr>
          <w:trHeight w:val="351"/>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 xml:space="preserve">As </w:t>
            </w:r>
            <w:r w:rsidRPr="00C66B91">
              <w:rPr>
                <w:color w:val="000000"/>
                <w:sz w:val="22"/>
                <w:szCs w:val="22"/>
              </w:rPr>
              <w:t xml:space="preserve">of </w:t>
            </w:r>
            <w:r w:rsidRPr="005E30E6">
              <w:rPr>
                <w:color w:val="000000"/>
                <w:sz w:val="22"/>
                <w:szCs w:val="22"/>
              </w:rPr>
              <w:t>1 January 2015</w:t>
            </w:r>
          </w:p>
        </w:tc>
        <w:tc>
          <w:tcPr>
            <w:tcW w:w="1560"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10,360</w:t>
            </w:r>
          </w:p>
        </w:tc>
        <w:tc>
          <w:tcPr>
            <w:tcW w:w="1417"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1,544</w:t>
            </w:r>
          </w:p>
        </w:tc>
        <w:tc>
          <w:tcPr>
            <w:tcW w:w="1701"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8,676</w:t>
            </w:r>
          </w:p>
        </w:tc>
        <w:tc>
          <w:tcPr>
            <w:tcW w:w="1559" w:type="dxa"/>
            <w:tcBorders>
              <w:top w:val="single" w:sz="8" w:space="0" w:color="auto"/>
              <w:left w:val="nil"/>
              <w:bottom w:val="single" w:sz="8"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20,580</w:t>
            </w:r>
          </w:p>
        </w:tc>
      </w:tr>
      <w:tr w:rsidR="00C66B91" w:rsidRPr="00C66B91" w:rsidTr="00296E48">
        <w:trPr>
          <w:trHeight w:val="286"/>
        </w:trPr>
        <w:tc>
          <w:tcPr>
            <w:tcW w:w="2835" w:type="dxa"/>
            <w:tcBorders>
              <w:top w:val="nil"/>
              <w:left w:val="nil"/>
              <w:bottom w:val="nil"/>
              <w:right w:val="nil"/>
            </w:tcBorders>
            <w:shd w:val="clear" w:color="auto" w:fill="auto"/>
            <w:vAlign w:val="center"/>
            <w:hideMark/>
          </w:tcPr>
          <w:p w:rsidR="00C66B91" w:rsidRPr="005E30E6" w:rsidRDefault="00C66B91" w:rsidP="00C66B91">
            <w:pPr>
              <w:rPr>
                <w:color w:val="000000"/>
                <w:sz w:val="22"/>
                <w:szCs w:val="22"/>
              </w:rPr>
            </w:pPr>
            <w:r w:rsidRPr="005E30E6">
              <w:rPr>
                <w:color w:val="000000"/>
                <w:sz w:val="22"/>
                <w:szCs w:val="22"/>
              </w:rPr>
              <w:t xml:space="preserve">As </w:t>
            </w:r>
            <w:r w:rsidRPr="00C66B91">
              <w:rPr>
                <w:color w:val="000000"/>
                <w:sz w:val="22"/>
                <w:szCs w:val="22"/>
              </w:rPr>
              <w:t xml:space="preserve">of 30 June </w:t>
            </w:r>
            <w:r w:rsidRPr="005E30E6">
              <w:rPr>
                <w:color w:val="000000"/>
                <w:sz w:val="22"/>
                <w:szCs w:val="22"/>
              </w:rPr>
              <w:t>2015</w:t>
            </w:r>
          </w:p>
        </w:tc>
        <w:tc>
          <w:tcPr>
            <w:tcW w:w="1560" w:type="dxa"/>
            <w:tcBorders>
              <w:top w:val="nil"/>
              <w:left w:val="nil"/>
              <w:bottom w:val="double" w:sz="6"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10,360</w:t>
            </w:r>
          </w:p>
        </w:tc>
        <w:tc>
          <w:tcPr>
            <w:tcW w:w="1417" w:type="dxa"/>
            <w:tcBorders>
              <w:top w:val="nil"/>
              <w:left w:val="nil"/>
              <w:bottom w:val="double" w:sz="6"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3,843</w:t>
            </w:r>
          </w:p>
        </w:tc>
        <w:tc>
          <w:tcPr>
            <w:tcW w:w="1701" w:type="dxa"/>
            <w:tcBorders>
              <w:top w:val="nil"/>
              <w:left w:val="nil"/>
              <w:bottom w:val="double" w:sz="6"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8,402</w:t>
            </w:r>
          </w:p>
        </w:tc>
        <w:tc>
          <w:tcPr>
            <w:tcW w:w="1559" w:type="dxa"/>
            <w:tcBorders>
              <w:top w:val="nil"/>
              <w:left w:val="nil"/>
              <w:bottom w:val="double" w:sz="6" w:space="0" w:color="auto"/>
              <w:right w:val="nil"/>
            </w:tcBorders>
            <w:shd w:val="clear" w:color="auto" w:fill="auto"/>
            <w:vAlign w:val="center"/>
            <w:hideMark/>
          </w:tcPr>
          <w:p w:rsidR="00C66B91" w:rsidRPr="00C66B91" w:rsidRDefault="00C66B91" w:rsidP="00C66B91">
            <w:pPr>
              <w:jc w:val="right"/>
              <w:rPr>
                <w:b/>
                <w:bCs/>
                <w:color w:val="000000"/>
                <w:sz w:val="22"/>
                <w:szCs w:val="22"/>
                <w:lang w:val="en-GB"/>
              </w:rPr>
            </w:pPr>
            <w:r w:rsidRPr="00C66B91">
              <w:rPr>
                <w:b/>
                <w:bCs/>
                <w:color w:val="000000"/>
                <w:sz w:val="22"/>
                <w:szCs w:val="22"/>
                <w:lang w:val="en-GB"/>
              </w:rPr>
              <w:t>22,605</w:t>
            </w:r>
          </w:p>
        </w:tc>
      </w:tr>
    </w:tbl>
    <w:p w:rsidR="00296E48" w:rsidRPr="00C66B91" w:rsidRDefault="00296E48" w:rsidP="00E922D1">
      <w:pPr>
        <w:autoSpaceDE w:val="0"/>
        <w:autoSpaceDN w:val="0"/>
        <w:adjustRightInd w:val="0"/>
        <w:jc w:val="both"/>
        <w:rPr>
          <w:sz w:val="22"/>
          <w:szCs w:val="22"/>
          <w:lang w:val="en-GB"/>
        </w:rPr>
      </w:pPr>
    </w:p>
    <w:p w:rsidR="00E922D1" w:rsidRPr="00C66B91" w:rsidRDefault="00E922D1" w:rsidP="00E922D1">
      <w:pPr>
        <w:autoSpaceDE w:val="0"/>
        <w:autoSpaceDN w:val="0"/>
        <w:adjustRightInd w:val="0"/>
        <w:jc w:val="both"/>
        <w:rPr>
          <w:sz w:val="22"/>
          <w:szCs w:val="22"/>
          <w:lang w:val="en-GB"/>
        </w:rPr>
      </w:pPr>
    </w:p>
    <w:p w:rsidR="00763911" w:rsidRPr="00763911" w:rsidRDefault="00763911" w:rsidP="00763911">
      <w:pPr>
        <w:autoSpaceDE w:val="0"/>
        <w:autoSpaceDN w:val="0"/>
        <w:adjustRightInd w:val="0"/>
        <w:jc w:val="both"/>
        <w:rPr>
          <w:sz w:val="22"/>
          <w:szCs w:val="22"/>
          <w:lang w:val="en-GB"/>
        </w:rPr>
      </w:pPr>
      <w:r w:rsidRPr="00763911">
        <w:rPr>
          <w:sz w:val="22"/>
          <w:szCs w:val="22"/>
          <w:lang w:val="en-GB"/>
        </w:rPr>
        <w:t xml:space="preserve">The goodwill recognized as of 30 June 2015 in the statement of financial position, which comes up to BGN 10,360 thousand, represents the amount, by which the acquisition cost (provided remuneration) exceeds the fair value of the Group share in the net identifiable assets of Geopost Bulgaria EOOD /BGN 4,214 thousand/ and Dynamic Parcel Distribution S.A., Romania /BGN 6,146 thousand/ as at the date of their acquisition. </w:t>
      </w:r>
    </w:p>
    <w:p w:rsidR="00763911" w:rsidRPr="00763911" w:rsidRDefault="00763911" w:rsidP="00763911">
      <w:pPr>
        <w:autoSpaceDE w:val="0"/>
        <w:autoSpaceDN w:val="0"/>
        <w:adjustRightInd w:val="0"/>
        <w:jc w:val="both"/>
        <w:rPr>
          <w:sz w:val="22"/>
          <w:szCs w:val="22"/>
          <w:lang w:val="en-GB"/>
        </w:rPr>
      </w:pPr>
    </w:p>
    <w:p w:rsidR="00763911" w:rsidRPr="00763911" w:rsidRDefault="00763911" w:rsidP="00763911">
      <w:pPr>
        <w:autoSpaceDE w:val="0"/>
        <w:autoSpaceDN w:val="0"/>
        <w:adjustRightInd w:val="0"/>
        <w:jc w:val="both"/>
        <w:rPr>
          <w:sz w:val="22"/>
          <w:szCs w:val="22"/>
          <w:lang w:val="en-GB"/>
        </w:rPr>
      </w:pPr>
      <w:r w:rsidRPr="00763911">
        <w:rPr>
          <w:sz w:val="22"/>
          <w:szCs w:val="22"/>
          <w:lang w:val="en-GB"/>
        </w:rPr>
        <w:t>The Group management has carried out the necessary procedures so as to perform the impairment test as regards the recognized goodwill associated with the acquisition of the subsidiary companies Geopost Bulgaria EOOD and Dynamic Parcel Distribution S.A., Romania. For this purpose, it is assumed that each single company is considered as a cash-generating unit. The basis for the forecasts of the cash flows (before taxes) were the financial budgets, designed by the management of the individual companies and of the Group as a whole, covering from three to five year period, as well as other medium-term and long-term plans and intentions about the development and restructuring of the activities within the Group. The recoverable amount of each cash-generating unit is determined on the “value in use” basis. The key assumptions, used for the calculations, are specifically set out for each company with goodwill, treated as an individual cash-generating unit, and in accordance with its activity specificity, the business environment and the risks.</w:t>
      </w:r>
    </w:p>
    <w:p w:rsidR="00763911" w:rsidRPr="00763911" w:rsidRDefault="00763911" w:rsidP="00763911">
      <w:pPr>
        <w:autoSpaceDE w:val="0"/>
        <w:autoSpaceDN w:val="0"/>
        <w:adjustRightInd w:val="0"/>
        <w:jc w:val="both"/>
        <w:rPr>
          <w:sz w:val="22"/>
          <w:szCs w:val="22"/>
          <w:lang w:val="en-GB"/>
        </w:rPr>
      </w:pPr>
    </w:p>
    <w:p w:rsidR="00763911" w:rsidRPr="00763911" w:rsidRDefault="00763911" w:rsidP="00763911">
      <w:pPr>
        <w:autoSpaceDE w:val="0"/>
        <w:autoSpaceDN w:val="0"/>
        <w:adjustRightInd w:val="0"/>
        <w:jc w:val="both"/>
        <w:rPr>
          <w:sz w:val="22"/>
          <w:szCs w:val="22"/>
          <w:lang w:val="en-GB"/>
        </w:rPr>
      </w:pPr>
      <w:r w:rsidRPr="00763911">
        <w:rPr>
          <w:sz w:val="22"/>
          <w:szCs w:val="22"/>
          <w:lang w:val="en-GB"/>
        </w:rPr>
        <w:t>The tests and the judgments of the Group management as to the impairment of the recognized goodwill are made through the prism of its forecasts and intentions concerning the future economic benefits, which the Group expects to obtain from the subsidiary companies, including through the use of their internally created trademarks, trade and industrial experience and their generated and expected in the future volumes of revenues, ensuring of positions on Bulgarian and foreign markets (development and preservation), expectations of future sales and restructuring of the activity, etc.</w:t>
      </w:r>
    </w:p>
    <w:p w:rsidR="00763911" w:rsidRPr="00763911" w:rsidRDefault="00763911" w:rsidP="00763911">
      <w:pPr>
        <w:autoSpaceDE w:val="0"/>
        <w:autoSpaceDN w:val="0"/>
        <w:adjustRightInd w:val="0"/>
        <w:jc w:val="both"/>
        <w:rPr>
          <w:sz w:val="22"/>
          <w:szCs w:val="22"/>
          <w:lang w:val="en-GB"/>
        </w:rPr>
      </w:pPr>
    </w:p>
    <w:p w:rsidR="00763911" w:rsidRPr="00763911" w:rsidRDefault="00763911" w:rsidP="00763911">
      <w:pPr>
        <w:autoSpaceDE w:val="0"/>
        <w:autoSpaceDN w:val="0"/>
        <w:adjustRightInd w:val="0"/>
        <w:jc w:val="both"/>
        <w:rPr>
          <w:sz w:val="22"/>
          <w:szCs w:val="22"/>
          <w:lang w:val="en-GB"/>
        </w:rPr>
      </w:pPr>
      <w:r w:rsidRPr="00763911">
        <w:rPr>
          <w:sz w:val="22"/>
          <w:szCs w:val="22"/>
          <w:lang w:val="en-GB"/>
        </w:rPr>
        <w:t xml:space="preserve">Based on the calculations made as </w:t>
      </w:r>
      <w:r>
        <w:rPr>
          <w:sz w:val="22"/>
          <w:szCs w:val="22"/>
          <w:lang w:val="en-GB"/>
        </w:rPr>
        <w:t>of</w:t>
      </w:r>
      <w:r w:rsidRPr="00763911">
        <w:rPr>
          <w:sz w:val="22"/>
          <w:szCs w:val="22"/>
          <w:lang w:val="en-GB"/>
        </w:rPr>
        <w:t xml:space="preserve"> 30 June 2015, there was </w:t>
      </w:r>
      <w:r>
        <w:rPr>
          <w:sz w:val="22"/>
          <w:szCs w:val="22"/>
          <w:lang w:val="en-GB"/>
        </w:rPr>
        <w:t xml:space="preserve">no ground to recognize impairment of </w:t>
      </w:r>
      <w:r w:rsidRPr="00763911">
        <w:rPr>
          <w:sz w:val="22"/>
          <w:szCs w:val="22"/>
          <w:lang w:val="en-GB"/>
        </w:rPr>
        <w:t>goodwill for Geopost Bulgaria EOOD and Dynamic Parcel Distribution S.A., Romania.</w:t>
      </w:r>
    </w:p>
    <w:p w:rsidR="00763911" w:rsidRPr="00763911" w:rsidRDefault="00763911" w:rsidP="00763911">
      <w:pPr>
        <w:autoSpaceDE w:val="0"/>
        <w:autoSpaceDN w:val="0"/>
        <w:adjustRightInd w:val="0"/>
        <w:jc w:val="both"/>
        <w:rPr>
          <w:sz w:val="22"/>
          <w:szCs w:val="22"/>
          <w:lang w:val="en-GB"/>
        </w:rPr>
      </w:pPr>
    </w:p>
    <w:p w:rsidR="00E922D1" w:rsidRPr="00C66B91" w:rsidRDefault="00763911" w:rsidP="00763911">
      <w:pPr>
        <w:autoSpaceDE w:val="0"/>
        <w:autoSpaceDN w:val="0"/>
        <w:adjustRightInd w:val="0"/>
        <w:jc w:val="both"/>
        <w:rPr>
          <w:sz w:val="22"/>
          <w:szCs w:val="22"/>
          <w:lang w:val="en-GB"/>
        </w:rPr>
      </w:pPr>
      <w:r w:rsidRPr="00763911">
        <w:rPr>
          <w:sz w:val="22"/>
          <w:szCs w:val="22"/>
          <w:lang w:val="en-GB"/>
        </w:rPr>
        <w:t>The other intangible assets include exclusive contracts with contracting parties, licenses and distribution network, acquired through business combinations, which come up to BGN 8,722 thousand, distributed as follows:</w:t>
      </w:r>
    </w:p>
    <w:tbl>
      <w:tblPr>
        <w:tblW w:w="4901" w:type="pct"/>
        <w:tblLook w:val="0000" w:firstRow="0" w:lastRow="0" w:firstColumn="0" w:lastColumn="0" w:noHBand="0" w:noVBand="0"/>
      </w:tblPr>
      <w:tblGrid>
        <w:gridCol w:w="7334"/>
        <w:gridCol w:w="1575"/>
      </w:tblGrid>
      <w:tr w:rsidR="00E922D1" w:rsidRPr="00C66B91" w:rsidTr="00C46C22">
        <w:trPr>
          <w:trHeight w:val="227"/>
        </w:trPr>
        <w:tc>
          <w:tcPr>
            <w:tcW w:w="4116" w:type="pct"/>
          </w:tcPr>
          <w:p w:rsidR="00E922D1" w:rsidRPr="00C66B91" w:rsidRDefault="00E922D1" w:rsidP="00C46C22">
            <w:pPr>
              <w:rPr>
                <w:b/>
                <w:lang w:val="en-GB"/>
              </w:rPr>
            </w:pPr>
          </w:p>
        </w:tc>
        <w:tc>
          <w:tcPr>
            <w:tcW w:w="884" w:type="pct"/>
          </w:tcPr>
          <w:p w:rsidR="00E922D1" w:rsidRPr="00C66B91" w:rsidRDefault="00E922D1" w:rsidP="00C46C22">
            <w:pPr>
              <w:jc w:val="center"/>
              <w:rPr>
                <w:b/>
                <w:lang w:val="en-GB"/>
              </w:rPr>
            </w:pPr>
            <w:r w:rsidRPr="00C66B91">
              <w:rPr>
                <w:b/>
                <w:sz w:val="22"/>
                <w:szCs w:val="22"/>
                <w:lang w:val="en-GB"/>
              </w:rPr>
              <w:t>BGN’000</w:t>
            </w:r>
          </w:p>
        </w:tc>
      </w:tr>
      <w:tr w:rsidR="00E922D1" w:rsidRPr="00C66B91" w:rsidTr="00C46C22">
        <w:trPr>
          <w:trHeight w:val="227"/>
        </w:trPr>
        <w:tc>
          <w:tcPr>
            <w:tcW w:w="4116" w:type="pct"/>
          </w:tcPr>
          <w:p w:rsidR="00E922D1" w:rsidRPr="00C66B91" w:rsidRDefault="00E922D1" w:rsidP="00C46C22">
            <w:pPr>
              <w:rPr>
                <w:b/>
                <w:lang w:val="en-GB"/>
              </w:rPr>
            </w:pPr>
          </w:p>
        </w:tc>
        <w:tc>
          <w:tcPr>
            <w:tcW w:w="884" w:type="pct"/>
          </w:tcPr>
          <w:p w:rsidR="00E922D1" w:rsidRPr="00C66B91" w:rsidRDefault="00E922D1" w:rsidP="00C46C22">
            <w:pPr>
              <w:jc w:val="right"/>
              <w:rPr>
                <w:lang w:val="en-GB"/>
              </w:rPr>
            </w:pPr>
          </w:p>
        </w:tc>
      </w:tr>
      <w:tr w:rsidR="00763911" w:rsidRPr="00C66B91" w:rsidTr="00C46C22">
        <w:trPr>
          <w:trHeight w:val="227"/>
        </w:trPr>
        <w:tc>
          <w:tcPr>
            <w:tcW w:w="4116" w:type="pct"/>
          </w:tcPr>
          <w:p w:rsidR="00763911" w:rsidRPr="005E30E6" w:rsidRDefault="00763911" w:rsidP="00763911">
            <w:pPr>
              <w:jc w:val="both"/>
              <w:rPr>
                <w:color w:val="000000"/>
                <w:sz w:val="22"/>
                <w:szCs w:val="22"/>
              </w:rPr>
            </w:pPr>
            <w:r w:rsidRPr="005E30E6">
              <w:rPr>
                <w:color w:val="000000"/>
                <w:sz w:val="22"/>
                <w:szCs w:val="22"/>
              </w:rPr>
              <w:t>Commercial contract</w:t>
            </w:r>
          </w:p>
        </w:tc>
        <w:tc>
          <w:tcPr>
            <w:tcW w:w="884" w:type="pct"/>
            <w:vAlign w:val="center"/>
          </w:tcPr>
          <w:p w:rsidR="00763911" w:rsidRPr="00C66B91" w:rsidRDefault="00763911" w:rsidP="00763911">
            <w:pPr>
              <w:autoSpaceDE w:val="0"/>
              <w:autoSpaceDN w:val="0"/>
              <w:adjustRightInd w:val="0"/>
              <w:ind w:right="258"/>
              <w:jc w:val="right"/>
              <w:rPr>
                <w:color w:val="000000"/>
                <w:sz w:val="22"/>
                <w:szCs w:val="22"/>
                <w:lang w:val="en-GB"/>
              </w:rPr>
            </w:pPr>
            <w:r w:rsidRPr="00C66B91">
              <w:rPr>
                <w:color w:val="000000"/>
                <w:sz w:val="22"/>
                <w:szCs w:val="22"/>
                <w:lang w:val="en-GB"/>
              </w:rPr>
              <w:t>7,486</w:t>
            </w:r>
          </w:p>
        </w:tc>
      </w:tr>
      <w:tr w:rsidR="00763911" w:rsidRPr="00C66B91" w:rsidTr="00C46C22">
        <w:trPr>
          <w:trHeight w:val="227"/>
        </w:trPr>
        <w:tc>
          <w:tcPr>
            <w:tcW w:w="4116" w:type="pct"/>
          </w:tcPr>
          <w:p w:rsidR="00763911" w:rsidRPr="005E30E6" w:rsidRDefault="00763911" w:rsidP="00763911">
            <w:pPr>
              <w:jc w:val="both"/>
              <w:rPr>
                <w:color w:val="000000"/>
                <w:sz w:val="22"/>
                <w:szCs w:val="22"/>
              </w:rPr>
            </w:pPr>
            <w:r w:rsidRPr="005E30E6">
              <w:rPr>
                <w:color w:val="000000"/>
                <w:sz w:val="22"/>
                <w:szCs w:val="22"/>
              </w:rPr>
              <w:t>Existing contracts (apart from customers)</w:t>
            </w:r>
          </w:p>
        </w:tc>
        <w:tc>
          <w:tcPr>
            <w:tcW w:w="884" w:type="pct"/>
            <w:vAlign w:val="center"/>
          </w:tcPr>
          <w:p w:rsidR="00763911" w:rsidRPr="00C66B91" w:rsidRDefault="00763911" w:rsidP="00763911">
            <w:pPr>
              <w:autoSpaceDE w:val="0"/>
              <w:autoSpaceDN w:val="0"/>
              <w:adjustRightInd w:val="0"/>
              <w:ind w:right="258"/>
              <w:jc w:val="right"/>
              <w:rPr>
                <w:color w:val="000000"/>
                <w:sz w:val="22"/>
                <w:szCs w:val="22"/>
                <w:lang w:val="en-GB"/>
              </w:rPr>
            </w:pPr>
            <w:r w:rsidRPr="00C66B91">
              <w:rPr>
                <w:color w:val="000000"/>
                <w:sz w:val="22"/>
                <w:szCs w:val="22"/>
                <w:lang w:val="en-GB"/>
              </w:rPr>
              <w:t xml:space="preserve">992 </w:t>
            </w:r>
          </w:p>
        </w:tc>
      </w:tr>
      <w:tr w:rsidR="00763911" w:rsidRPr="00C66B91" w:rsidTr="00C46C22">
        <w:trPr>
          <w:trHeight w:val="227"/>
        </w:trPr>
        <w:tc>
          <w:tcPr>
            <w:tcW w:w="4116" w:type="pct"/>
          </w:tcPr>
          <w:p w:rsidR="00763911" w:rsidRPr="005E30E6" w:rsidRDefault="00763911" w:rsidP="00763911">
            <w:pPr>
              <w:jc w:val="both"/>
              <w:rPr>
                <w:color w:val="000000"/>
                <w:sz w:val="22"/>
                <w:szCs w:val="22"/>
              </w:rPr>
            </w:pPr>
            <w:r w:rsidRPr="005E30E6">
              <w:rPr>
                <w:color w:val="000000"/>
                <w:sz w:val="22"/>
                <w:szCs w:val="22"/>
              </w:rPr>
              <w:t>Built-up management capacity</w:t>
            </w:r>
          </w:p>
        </w:tc>
        <w:tc>
          <w:tcPr>
            <w:tcW w:w="884" w:type="pct"/>
            <w:vAlign w:val="center"/>
          </w:tcPr>
          <w:p w:rsidR="00763911" w:rsidRPr="00C66B91" w:rsidRDefault="00763911" w:rsidP="00763911">
            <w:pPr>
              <w:autoSpaceDE w:val="0"/>
              <w:autoSpaceDN w:val="0"/>
              <w:adjustRightInd w:val="0"/>
              <w:ind w:right="258"/>
              <w:jc w:val="right"/>
              <w:rPr>
                <w:color w:val="000000"/>
                <w:sz w:val="22"/>
                <w:szCs w:val="22"/>
                <w:lang w:val="en-GB"/>
              </w:rPr>
            </w:pPr>
            <w:r w:rsidRPr="00C66B91">
              <w:rPr>
                <w:color w:val="000000"/>
                <w:sz w:val="22"/>
                <w:szCs w:val="22"/>
                <w:lang w:val="en-GB"/>
              </w:rPr>
              <w:t>244</w:t>
            </w:r>
          </w:p>
        </w:tc>
      </w:tr>
      <w:tr w:rsidR="00763911" w:rsidRPr="00C66B91" w:rsidTr="00C46C22">
        <w:trPr>
          <w:trHeight w:val="311"/>
        </w:trPr>
        <w:tc>
          <w:tcPr>
            <w:tcW w:w="4116" w:type="pct"/>
          </w:tcPr>
          <w:p w:rsidR="00763911" w:rsidRPr="005E30E6" w:rsidRDefault="00763911" w:rsidP="00763911">
            <w:pPr>
              <w:jc w:val="right"/>
              <w:rPr>
                <w:b/>
              </w:rPr>
            </w:pPr>
            <w:r w:rsidRPr="005E30E6">
              <w:rPr>
                <w:b/>
                <w:sz w:val="22"/>
                <w:szCs w:val="22"/>
              </w:rPr>
              <w:t xml:space="preserve">Total </w:t>
            </w:r>
          </w:p>
        </w:tc>
        <w:tc>
          <w:tcPr>
            <w:tcW w:w="884" w:type="pct"/>
            <w:tcBorders>
              <w:top w:val="single" w:sz="4" w:space="0" w:color="auto"/>
              <w:bottom w:val="double" w:sz="4" w:space="0" w:color="auto"/>
            </w:tcBorders>
            <w:vAlign w:val="center"/>
          </w:tcPr>
          <w:p w:rsidR="00763911" w:rsidRPr="00C66B91" w:rsidRDefault="00763911" w:rsidP="00763911">
            <w:pPr>
              <w:ind w:right="258"/>
              <w:jc w:val="right"/>
              <w:rPr>
                <w:b/>
                <w:sz w:val="22"/>
                <w:szCs w:val="22"/>
                <w:lang w:val="en-GB"/>
              </w:rPr>
            </w:pPr>
            <w:r w:rsidRPr="00C66B91">
              <w:rPr>
                <w:b/>
                <w:sz w:val="22"/>
                <w:szCs w:val="22"/>
                <w:lang w:val="en-GB"/>
              </w:rPr>
              <w:t>8,722</w:t>
            </w:r>
          </w:p>
        </w:tc>
      </w:tr>
    </w:tbl>
    <w:p w:rsidR="00E922D1" w:rsidRPr="00C66B91" w:rsidRDefault="00E922D1" w:rsidP="00E922D1">
      <w:pPr>
        <w:autoSpaceDE w:val="0"/>
        <w:autoSpaceDN w:val="0"/>
        <w:adjustRightInd w:val="0"/>
        <w:jc w:val="both"/>
        <w:rPr>
          <w:sz w:val="22"/>
          <w:szCs w:val="22"/>
          <w:lang w:val="en-GB"/>
        </w:rPr>
      </w:pPr>
    </w:p>
    <w:p w:rsidR="00DC2916" w:rsidRPr="00DC2916" w:rsidRDefault="00DC2916" w:rsidP="00DC2916">
      <w:pPr>
        <w:autoSpaceDE w:val="0"/>
        <w:autoSpaceDN w:val="0"/>
        <w:adjustRightInd w:val="0"/>
        <w:jc w:val="both"/>
        <w:rPr>
          <w:sz w:val="22"/>
          <w:szCs w:val="22"/>
          <w:lang w:val="en-GB"/>
        </w:rPr>
      </w:pPr>
      <w:r w:rsidRPr="00DC2916">
        <w:rPr>
          <w:sz w:val="22"/>
          <w:szCs w:val="22"/>
          <w:lang w:val="en-GB"/>
        </w:rPr>
        <w:t>As at 30 June 2015, the Group has reviewed its software and other intangible assets and established that there are no events or changes in the circumstances, on grounds of which to assume that their carrying amount might exceed their recoverable amount.</w:t>
      </w:r>
    </w:p>
    <w:p w:rsidR="00DC2916" w:rsidRPr="00DC2916" w:rsidRDefault="00DC2916" w:rsidP="00DC2916">
      <w:pPr>
        <w:autoSpaceDE w:val="0"/>
        <w:autoSpaceDN w:val="0"/>
        <w:adjustRightInd w:val="0"/>
        <w:jc w:val="both"/>
        <w:rPr>
          <w:sz w:val="22"/>
          <w:szCs w:val="22"/>
          <w:lang w:val="en-GB"/>
        </w:rPr>
      </w:pPr>
    </w:p>
    <w:p w:rsidR="00DC2916" w:rsidRPr="00DC2916" w:rsidRDefault="00DC2916" w:rsidP="00DC2916">
      <w:pPr>
        <w:autoSpaceDE w:val="0"/>
        <w:autoSpaceDN w:val="0"/>
        <w:adjustRightInd w:val="0"/>
        <w:jc w:val="both"/>
        <w:rPr>
          <w:sz w:val="22"/>
          <w:szCs w:val="22"/>
          <w:lang w:val="en-GB"/>
        </w:rPr>
      </w:pPr>
    </w:p>
    <w:p w:rsidR="00DC2916" w:rsidRPr="00DC2916" w:rsidRDefault="00DC2916" w:rsidP="00DC2916">
      <w:pPr>
        <w:autoSpaceDE w:val="0"/>
        <w:autoSpaceDN w:val="0"/>
        <w:adjustRightInd w:val="0"/>
        <w:jc w:val="both"/>
        <w:rPr>
          <w:sz w:val="22"/>
          <w:szCs w:val="22"/>
          <w:lang w:val="en-GB"/>
        </w:rPr>
      </w:pPr>
      <w:r w:rsidRPr="00DC2916">
        <w:rPr>
          <w:sz w:val="22"/>
          <w:szCs w:val="22"/>
          <w:lang w:val="en-GB"/>
        </w:rPr>
        <w:t>5. ACQUISITION OF SUBSIDIARY COMPANIES</w:t>
      </w:r>
    </w:p>
    <w:p w:rsidR="00DC2916" w:rsidRPr="00DC2916" w:rsidRDefault="00DC2916" w:rsidP="00DC2916">
      <w:pPr>
        <w:autoSpaceDE w:val="0"/>
        <w:autoSpaceDN w:val="0"/>
        <w:adjustRightInd w:val="0"/>
        <w:jc w:val="both"/>
        <w:rPr>
          <w:sz w:val="22"/>
          <w:szCs w:val="22"/>
          <w:lang w:val="en-GB"/>
        </w:rPr>
      </w:pPr>
    </w:p>
    <w:p w:rsidR="00DC2916" w:rsidRPr="00DC2916" w:rsidRDefault="00DC2916" w:rsidP="00DC2916">
      <w:pPr>
        <w:autoSpaceDE w:val="0"/>
        <w:autoSpaceDN w:val="0"/>
        <w:adjustRightInd w:val="0"/>
        <w:jc w:val="both"/>
        <w:rPr>
          <w:sz w:val="22"/>
          <w:szCs w:val="22"/>
          <w:lang w:val="en-GB"/>
        </w:rPr>
      </w:pPr>
      <w:r w:rsidRPr="00DC2916">
        <w:rPr>
          <w:sz w:val="22"/>
          <w:szCs w:val="22"/>
          <w:lang w:val="en-GB"/>
        </w:rPr>
        <w:t>In 2014, the Group acquired the control over the company Geopost Bulgaria EOOD, having its seat in the city of Sofia, Bulgaria, through the purchasing of shares in the company, as a result of which it now holds 100 % of its capital.</w:t>
      </w:r>
    </w:p>
    <w:p w:rsidR="00DC2916" w:rsidRPr="00DC2916" w:rsidRDefault="00DC2916" w:rsidP="00DC2916">
      <w:pPr>
        <w:autoSpaceDE w:val="0"/>
        <w:autoSpaceDN w:val="0"/>
        <w:adjustRightInd w:val="0"/>
        <w:jc w:val="both"/>
        <w:rPr>
          <w:sz w:val="22"/>
          <w:szCs w:val="22"/>
          <w:lang w:val="en-GB"/>
        </w:rPr>
      </w:pPr>
    </w:p>
    <w:p w:rsidR="00DC2916" w:rsidRPr="00DC2916" w:rsidRDefault="00DC2916" w:rsidP="00DC2916">
      <w:pPr>
        <w:autoSpaceDE w:val="0"/>
        <w:autoSpaceDN w:val="0"/>
        <w:adjustRightInd w:val="0"/>
        <w:jc w:val="both"/>
        <w:rPr>
          <w:sz w:val="22"/>
          <w:szCs w:val="22"/>
          <w:lang w:val="en-GB"/>
        </w:rPr>
      </w:pPr>
      <w:r w:rsidRPr="00DC2916">
        <w:rPr>
          <w:sz w:val="22"/>
          <w:szCs w:val="22"/>
          <w:lang w:val="en-GB"/>
        </w:rPr>
        <w:t>The acquisition price for the Group amounts to BGN 8,164 thousand, and the assignment of the purchase price to the acquired assets and liabilities of company Geopost Bulgaria EOOD is carried out in the end of 2014. The value of each group of acquired assets, liabilities and contingent liabilities, which are recognized as at the date of acquisition, is the following:</w:t>
      </w:r>
    </w:p>
    <w:p w:rsidR="00E922D1" w:rsidRPr="00C66B91" w:rsidRDefault="00E922D1" w:rsidP="00E922D1">
      <w:pPr>
        <w:autoSpaceDE w:val="0"/>
        <w:autoSpaceDN w:val="0"/>
        <w:adjustRightInd w:val="0"/>
        <w:jc w:val="both"/>
        <w:rPr>
          <w:sz w:val="22"/>
          <w:szCs w:val="22"/>
          <w:lang w:val="en-GB"/>
        </w:rPr>
      </w:pPr>
    </w:p>
    <w:tbl>
      <w:tblPr>
        <w:tblW w:w="4933" w:type="pct"/>
        <w:tblLook w:val="0000" w:firstRow="0" w:lastRow="0" w:firstColumn="0" w:lastColumn="0" w:noHBand="0" w:noVBand="0"/>
      </w:tblPr>
      <w:tblGrid>
        <w:gridCol w:w="6428"/>
        <w:gridCol w:w="2539"/>
      </w:tblGrid>
      <w:tr w:rsidR="00E922D1" w:rsidRPr="00C66B91" w:rsidTr="00C46C22">
        <w:trPr>
          <w:trHeight w:val="227"/>
        </w:trPr>
        <w:tc>
          <w:tcPr>
            <w:tcW w:w="3584" w:type="pct"/>
            <w:vMerge w:val="restart"/>
          </w:tcPr>
          <w:p w:rsidR="00E922D1" w:rsidRPr="00C66B91" w:rsidRDefault="00E922D1" w:rsidP="00C46C22">
            <w:pPr>
              <w:rPr>
                <w:b/>
                <w:lang w:val="en-GB"/>
              </w:rPr>
            </w:pPr>
          </w:p>
        </w:tc>
        <w:tc>
          <w:tcPr>
            <w:tcW w:w="1416" w:type="pct"/>
            <w:tcBorders>
              <w:bottom w:val="single" w:sz="4" w:space="0" w:color="auto"/>
            </w:tcBorders>
          </w:tcPr>
          <w:p w:rsidR="00E922D1" w:rsidRPr="00C66B91" w:rsidRDefault="00DC2916" w:rsidP="00C46C22">
            <w:pPr>
              <w:jc w:val="center"/>
              <w:rPr>
                <w:b/>
                <w:lang w:val="en-GB"/>
              </w:rPr>
            </w:pPr>
            <w:r w:rsidRPr="00DC2916">
              <w:rPr>
                <w:b/>
                <w:sz w:val="22"/>
                <w:szCs w:val="22"/>
                <w:lang w:val="en-GB"/>
              </w:rPr>
              <w:t>Recognized amount at the date of acquisition</w:t>
            </w:r>
          </w:p>
        </w:tc>
      </w:tr>
      <w:tr w:rsidR="00E922D1" w:rsidRPr="00C66B91" w:rsidTr="00C46C22">
        <w:trPr>
          <w:trHeight w:val="227"/>
        </w:trPr>
        <w:tc>
          <w:tcPr>
            <w:tcW w:w="3584" w:type="pct"/>
            <w:vMerge/>
          </w:tcPr>
          <w:p w:rsidR="00E922D1" w:rsidRPr="00C66B91" w:rsidRDefault="00E922D1" w:rsidP="00C46C22">
            <w:pPr>
              <w:rPr>
                <w:b/>
                <w:lang w:val="en-GB"/>
              </w:rPr>
            </w:pPr>
          </w:p>
        </w:tc>
        <w:tc>
          <w:tcPr>
            <w:tcW w:w="1416" w:type="pct"/>
            <w:tcBorders>
              <w:top w:val="single" w:sz="4" w:space="0" w:color="auto"/>
            </w:tcBorders>
          </w:tcPr>
          <w:p w:rsidR="00E922D1" w:rsidRPr="00C66B91" w:rsidRDefault="00E922D1" w:rsidP="00C46C22">
            <w:pPr>
              <w:jc w:val="center"/>
              <w:rPr>
                <w:b/>
                <w:lang w:val="en-GB"/>
              </w:rPr>
            </w:pPr>
            <w:r w:rsidRPr="00C66B91">
              <w:rPr>
                <w:b/>
                <w:sz w:val="22"/>
                <w:szCs w:val="22"/>
                <w:lang w:val="en-GB"/>
              </w:rPr>
              <w:t>BGN’000</w:t>
            </w:r>
          </w:p>
        </w:tc>
      </w:tr>
      <w:tr w:rsidR="00E922D1" w:rsidRPr="00C66B91" w:rsidTr="00C46C22">
        <w:trPr>
          <w:trHeight w:val="227"/>
        </w:trPr>
        <w:tc>
          <w:tcPr>
            <w:tcW w:w="3584" w:type="pct"/>
          </w:tcPr>
          <w:p w:rsidR="00E922D1" w:rsidRPr="00C66B91" w:rsidRDefault="00E922D1" w:rsidP="00C46C22">
            <w:pPr>
              <w:rPr>
                <w:b/>
                <w:lang w:val="en-GB"/>
              </w:rPr>
            </w:pPr>
          </w:p>
        </w:tc>
        <w:tc>
          <w:tcPr>
            <w:tcW w:w="1416" w:type="pct"/>
            <w:tcBorders>
              <w:bottom w:val="single" w:sz="2" w:space="0" w:color="auto"/>
            </w:tcBorders>
          </w:tcPr>
          <w:p w:rsidR="00E922D1" w:rsidRPr="00C66B91" w:rsidRDefault="00E922D1" w:rsidP="00C46C22">
            <w:pPr>
              <w:jc w:val="right"/>
              <w:rPr>
                <w:lang w:val="en-GB"/>
              </w:rPr>
            </w:pPr>
          </w:p>
        </w:tc>
      </w:tr>
      <w:tr w:rsidR="00DC2916" w:rsidRPr="00C66B91" w:rsidTr="00C46C22">
        <w:trPr>
          <w:trHeight w:val="227"/>
        </w:trPr>
        <w:tc>
          <w:tcPr>
            <w:tcW w:w="3584" w:type="pct"/>
          </w:tcPr>
          <w:p w:rsidR="00DC2916" w:rsidRPr="005E30E6" w:rsidRDefault="00DC2916" w:rsidP="00DC2916">
            <w:pPr>
              <w:rPr>
                <w:color w:val="000000"/>
              </w:rPr>
            </w:pPr>
            <w:r w:rsidRPr="005E30E6">
              <w:rPr>
                <w:sz w:val="22"/>
                <w:szCs w:val="22"/>
              </w:rPr>
              <w:t>Total remuneration</w:t>
            </w:r>
          </w:p>
        </w:tc>
        <w:tc>
          <w:tcPr>
            <w:tcW w:w="1416" w:type="pct"/>
            <w:tcBorders>
              <w:top w:val="single" w:sz="2" w:space="0" w:color="auto"/>
              <w:bottom w:val="double" w:sz="4" w:space="0" w:color="auto"/>
            </w:tcBorders>
          </w:tcPr>
          <w:p w:rsidR="00DC2916" w:rsidRPr="00C66B91" w:rsidRDefault="00DC2916" w:rsidP="00DC2916">
            <w:pPr>
              <w:jc w:val="right"/>
              <w:rPr>
                <w:b/>
                <w:sz w:val="22"/>
                <w:szCs w:val="22"/>
                <w:lang w:val="en-GB"/>
              </w:rPr>
            </w:pPr>
            <w:r w:rsidRPr="00C66B91">
              <w:rPr>
                <w:b/>
                <w:sz w:val="22"/>
                <w:szCs w:val="22"/>
                <w:lang w:val="en-GB"/>
              </w:rPr>
              <w:t>8,164</w:t>
            </w:r>
          </w:p>
        </w:tc>
      </w:tr>
      <w:tr w:rsidR="00DC2916" w:rsidRPr="00C66B91" w:rsidTr="00C46C22">
        <w:trPr>
          <w:trHeight w:val="227"/>
        </w:trPr>
        <w:tc>
          <w:tcPr>
            <w:tcW w:w="3584" w:type="pct"/>
          </w:tcPr>
          <w:p w:rsidR="00DC2916" w:rsidRPr="005E30E6" w:rsidRDefault="00DC2916" w:rsidP="00DC2916">
            <w:pPr>
              <w:rPr>
                <w:color w:val="000000"/>
                <w:sz w:val="22"/>
                <w:szCs w:val="22"/>
              </w:rPr>
            </w:pPr>
            <w:r w:rsidRPr="005E30E6">
              <w:rPr>
                <w:sz w:val="22"/>
                <w:szCs w:val="22"/>
              </w:rPr>
              <w:t xml:space="preserve">Net assets </w:t>
            </w:r>
          </w:p>
        </w:tc>
        <w:tc>
          <w:tcPr>
            <w:tcW w:w="1416" w:type="pct"/>
            <w:tcBorders>
              <w:top w:val="double" w:sz="4" w:space="0" w:color="auto"/>
            </w:tcBorders>
          </w:tcPr>
          <w:p w:rsidR="00DC2916" w:rsidRPr="00C66B91" w:rsidRDefault="00DC2916" w:rsidP="00DC2916">
            <w:pPr>
              <w:jc w:val="right"/>
              <w:rPr>
                <w:sz w:val="22"/>
                <w:szCs w:val="22"/>
                <w:lang w:val="en-GB"/>
              </w:rPr>
            </w:pPr>
            <w:r w:rsidRPr="00C66B91">
              <w:rPr>
                <w:sz w:val="22"/>
                <w:szCs w:val="22"/>
                <w:lang w:val="en-GB"/>
              </w:rPr>
              <w:t>1,424</w:t>
            </w:r>
          </w:p>
        </w:tc>
      </w:tr>
      <w:tr w:rsidR="00DC2916" w:rsidRPr="00C66B91" w:rsidTr="00C46C22">
        <w:trPr>
          <w:trHeight w:val="227"/>
        </w:trPr>
        <w:tc>
          <w:tcPr>
            <w:tcW w:w="3584" w:type="pct"/>
          </w:tcPr>
          <w:p w:rsidR="00DC2916" w:rsidRPr="005E30E6" w:rsidRDefault="00DC2916" w:rsidP="00DC2916">
            <w:pPr>
              <w:rPr>
                <w:color w:val="000000"/>
                <w:sz w:val="22"/>
                <w:szCs w:val="22"/>
              </w:rPr>
            </w:pPr>
            <w:r w:rsidRPr="005E30E6">
              <w:rPr>
                <w:sz w:val="22"/>
                <w:szCs w:val="22"/>
              </w:rPr>
              <w:t xml:space="preserve">Goodwill </w:t>
            </w:r>
          </w:p>
        </w:tc>
        <w:tc>
          <w:tcPr>
            <w:tcW w:w="1416" w:type="pct"/>
          </w:tcPr>
          <w:p w:rsidR="00DC2916" w:rsidRPr="00C66B91" w:rsidRDefault="00DC2916" w:rsidP="00DC2916">
            <w:pPr>
              <w:jc w:val="right"/>
              <w:rPr>
                <w:sz w:val="22"/>
                <w:szCs w:val="22"/>
                <w:lang w:val="en-GB"/>
              </w:rPr>
            </w:pPr>
            <w:r w:rsidRPr="00C66B91">
              <w:rPr>
                <w:sz w:val="22"/>
                <w:szCs w:val="22"/>
                <w:lang w:val="en-GB"/>
              </w:rPr>
              <w:t>4,214</w:t>
            </w:r>
          </w:p>
        </w:tc>
      </w:tr>
      <w:tr w:rsidR="00DC2916" w:rsidRPr="00C66B91" w:rsidTr="00C46C22">
        <w:trPr>
          <w:trHeight w:val="227"/>
        </w:trPr>
        <w:tc>
          <w:tcPr>
            <w:tcW w:w="3584" w:type="pct"/>
          </w:tcPr>
          <w:p w:rsidR="00DC2916" w:rsidRPr="005E30E6" w:rsidRDefault="00DC2916" w:rsidP="00DC2916">
            <w:pPr>
              <w:rPr>
                <w:color w:val="000000"/>
                <w:sz w:val="22"/>
                <w:szCs w:val="22"/>
              </w:rPr>
            </w:pPr>
            <w:r w:rsidRPr="005E30E6">
              <w:rPr>
                <w:color w:val="000000"/>
                <w:sz w:val="22"/>
                <w:szCs w:val="22"/>
              </w:rPr>
              <w:t>Intangible assets, incl.</w:t>
            </w:r>
          </w:p>
        </w:tc>
        <w:tc>
          <w:tcPr>
            <w:tcW w:w="1416" w:type="pct"/>
            <w:tcBorders>
              <w:bottom w:val="single" w:sz="2" w:space="0" w:color="auto"/>
            </w:tcBorders>
          </w:tcPr>
          <w:p w:rsidR="00DC2916" w:rsidRPr="00C66B91" w:rsidRDefault="00DC2916" w:rsidP="00DC2916">
            <w:pPr>
              <w:jc w:val="right"/>
              <w:rPr>
                <w:sz w:val="22"/>
                <w:szCs w:val="22"/>
                <w:lang w:val="en-GB"/>
              </w:rPr>
            </w:pPr>
            <w:r w:rsidRPr="00C66B91">
              <w:rPr>
                <w:sz w:val="22"/>
                <w:szCs w:val="22"/>
                <w:lang w:val="en-GB"/>
              </w:rPr>
              <w:t>2,526</w:t>
            </w:r>
          </w:p>
        </w:tc>
      </w:tr>
      <w:tr w:rsidR="00DC2916" w:rsidRPr="00C66B91" w:rsidTr="00C46C22">
        <w:trPr>
          <w:trHeight w:val="227"/>
        </w:trPr>
        <w:tc>
          <w:tcPr>
            <w:tcW w:w="3584" w:type="pct"/>
          </w:tcPr>
          <w:p w:rsidR="00DC2916" w:rsidRPr="005E30E6" w:rsidRDefault="00DC2916" w:rsidP="00DC2916">
            <w:pPr>
              <w:rPr>
                <w:i/>
                <w:color w:val="000000"/>
              </w:rPr>
            </w:pPr>
            <w:r w:rsidRPr="005E30E6">
              <w:rPr>
                <w:i/>
                <w:color w:val="000000"/>
                <w:sz w:val="22"/>
                <w:szCs w:val="22"/>
              </w:rPr>
              <w:t>Commercial contract</w:t>
            </w:r>
          </w:p>
        </w:tc>
        <w:tc>
          <w:tcPr>
            <w:tcW w:w="1416" w:type="pct"/>
            <w:tcBorders>
              <w:top w:val="single" w:sz="2" w:space="0" w:color="auto"/>
            </w:tcBorders>
          </w:tcPr>
          <w:p w:rsidR="00DC2916" w:rsidRPr="00C66B91" w:rsidRDefault="00DC2916" w:rsidP="00DC2916">
            <w:pPr>
              <w:jc w:val="right"/>
              <w:rPr>
                <w:i/>
                <w:sz w:val="22"/>
                <w:szCs w:val="22"/>
                <w:lang w:val="en-GB"/>
              </w:rPr>
            </w:pPr>
            <w:r w:rsidRPr="00C66B91">
              <w:rPr>
                <w:i/>
                <w:sz w:val="22"/>
                <w:szCs w:val="22"/>
                <w:lang w:val="en-GB"/>
              </w:rPr>
              <w:t>2,526</w:t>
            </w:r>
          </w:p>
        </w:tc>
      </w:tr>
    </w:tbl>
    <w:p w:rsidR="00E922D1" w:rsidRPr="00C66B91" w:rsidRDefault="00E922D1" w:rsidP="00E922D1">
      <w:pPr>
        <w:autoSpaceDE w:val="0"/>
        <w:autoSpaceDN w:val="0"/>
        <w:adjustRightInd w:val="0"/>
        <w:jc w:val="both"/>
        <w:rPr>
          <w:sz w:val="22"/>
          <w:szCs w:val="22"/>
          <w:lang w:val="en-GB"/>
        </w:rPr>
      </w:pPr>
    </w:p>
    <w:p w:rsidR="00DC2916" w:rsidRPr="00DC2916" w:rsidRDefault="00DC2916" w:rsidP="00DC2916">
      <w:pPr>
        <w:contextualSpacing/>
        <w:jc w:val="both"/>
        <w:rPr>
          <w:sz w:val="22"/>
          <w:szCs w:val="22"/>
        </w:rPr>
      </w:pPr>
      <w:r w:rsidRPr="00DC2916">
        <w:rPr>
          <w:sz w:val="22"/>
          <w:szCs w:val="22"/>
        </w:rPr>
        <w:t>Geopost Bulgaria EOOD is registered with the Commercial Register kept by the Registry Agency on 1 July 2008, UIC 131330260, having its seat and registered address in Bulgaria, Sofia Region, Sofia Municipality, city of Sofia, 2L “Samokovsko shose” Street, Boila Trade Center. The object of the company consists in provision of courier services, forwarding, processing, warehousing and distribution of documents, goods and cargo, domestic and international transport, import and export of goods, commercial representation and intermediation of Bulgarian and non-resident natural persons and legal entities, activity as an insurance agent and any other activity that is not prohibited by the law. The amount of the fixed capital of the company is BGN 80 thousand.</w:t>
      </w:r>
    </w:p>
    <w:p w:rsidR="00DC2916" w:rsidRPr="00DC2916" w:rsidRDefault="00DC2916" w:rsidP="00DC2916">
      <w:pPr>
        <w:autoSpaceDE w:val="0"/>
        <w:autoSpaceDN w:val="0"/>
        <w:adjustRightInd w:val="0"/>
        <w:jc w:val="both"/>
        <w:rPr>
          <w:sz w:val="22"/>
          <w:szCs w:val="22"/>
        </w:rPr>
      </w:pPr>
    </w:p>
    <w:p w:rsidR="00DC2916" w:rsidRPr="00DC2916" w:rsidRDefault="00DC2916" w:rsidP="00DC2916">
      <w:pPr>
        <w:autoSpaceDE w:val="0"/>
        <w:autoSpaceDN w:val="0"/>
        <w:adjustRightInd w:val="0"/>
        <w:jc w:val="both"/>
        <w:rPr>
          <w:sz w:val="22"/>
          <w:szCs w:val="22"/>
        </w:rPr>
      </w:pPr>
      <w:r w:rsidRPr="00DC2916">
        <w:rPr>
          <w:sz w:val="22"/>
          <w:szCs w:val="22"/>
        </w:rPr>
        <w:t>In 2014, the Group acquired the control over the company Dynamic Parcel Distribution S.A., Romania, Infov Region, city of Buftea, through the purchase of shares in the company, as a result of which it now holds 100 % of its capital.</w:t>
      </w:r>
    </w:p>
    <w:p w:rsidR="00DC2916" w:rsidRPr="00DC2916" w:rsidRDefault="00DC2916" w:rsidP="00DC2916">
      <w:pPr>
        <w:autoSpaceDE w:val="0"/>
        <w:autoSpaceDN w:val="0"/>
        <w:adjustRightInd w:val="0"/>
        <w:jc w:val="both"/>
        <w:rPr>
          <w:sz w:val="22"/>
          <w:szCs w:val="22"/>
        </w:rPr>
      </w:pPr>
    </w:p>
    <w:p w:rsidR="00DC2916" w:rsidRPr="00DC2916" w:rsidRDefault="00DC2916" w:rsidP="00DC2916">
      <w:pPr>
        <w:autoSpaceDE w:val="0"/>
        <w:autoSpaceDN w:val="0"/>
        <w:adjustRightInd w:val="0"/>
        <w:jc w:val="both"/>
        <w:rPr>
          <w:sz w:val="22"/>
          <w:szCs w:val="22"/>
        </w:rPr>
      </w:pPr>
      <w:r w:rsidRPr="00DC2916">
        <w:rPr>
          <w:sz w:val="22"/>
          <w:szCs w:val="22"/>
        </w:rPr>
        <w:lastRenderedPageBreak/>
        <w:t>The acquisition price for the Group amounts to BGN 17,297 thousand, and the assignment of the purchase price to the acquired assets and liabilities of company Dynamic Parcel Distribution S.A., Romania is carried out in the end of 2014. The value of each group of acquired assets, liabilities and contingent liabilities, recognized as at the date of acquisition, is the following:</w:t>
      </w:r>
    </w:p>
    <w:p w:rsidR="00DC2916" w:rsidRPr="00DC2916" w:rsidRDefault="00DC2916" w:rsidP="00DC2916">
      <w:pPr>
        <w:autoSpaceDE w:val="0"/>
        <w:autoSpaceDN w:val="0"/>
        <w:adjustRightInd w:val="0"/>
        <w:jc w:val="both"/>
        <w:rPr>
          <w:sz w:val="22"/>
          <w:szCs w:val="22"/>
        </w:rPr>
      </w:pPr>
    </w:p>
    <w:tbl>
      <w:tblPr>
        <w:tblW w:w="4933" w:type="pct"/>
        <w:tblLook w:val="0000" w:firstRow="0" w:lastRow="0" w:firstColumn="0" w:lastColumn="0" w:noHBand="0" w:noVBand="0"/>
      </w:tblPr>
      <w:tblGrid>
        <w:gridCol w:w="6428"/>
        <w:gridCol w:w="2539"/>
      </w:tblGrid>
      <w:tr w:rsidR="00DC2916" w:rsidRPr="00DC2916" w:rsidTr="000554E8">
        <w:trPr>
          <w:trHeight w:val="227"/>
        </w:trPr>
        <w:tc>
          <w:tcPr>
            <w:tcW w:w="3584" w:type="pct"/>
            <w:vMerge w:val="restart"/>
          </w:tcPr>
          <w:p w:rsidR="00DC2916" w:rsidRPr="00DC2916" w:rsidRDefault="00DC2916" w:rsidP="00DC2916">
            <w:pPr>
              <w:rPr>
                <w:b/>
              </w:rPr>
            </w:pPr>
          </w:p>
        </w:tc>
        <w:tc>
          <w:tcPr>
            <w:tcW w:w="1416" w:type="pct"/>
            <w:tcBorders>
              <w:bottom w:val="single" w:sz="4" w:space="0" w:color="auto"/>
            </w:tcBorders>
          </w:tcPr>
          <w:p w:rsidR="00DC2916" w:rsidRPr="00DC2916" w:rsidRDefault="00DC2916" w:rsidP="00DC2916">
            <w:pPr>
              <w:jc w:val="center"/>
              <w:rPr>
                <w:b/>
              </w:rPr>
            </w:pPr>
            <w:r w:rsidRPr="00DC2916">
              <w:rPr>
                <w:b/>
                <w:sz w:val="22"/>
                <w:szCs w:val="22"/>
              </w:rPr>
              <w:t>Recognized amount as at the date of acquisition</w:t>
            </w:r>
          </w:p>
        </w:tc>
      </w:tr>
      <w:tr w:rsidR="00DC2916" w:rsidRPr="00DC2916" w:rsidTr="000554E8">
        <w:trPr>
          <w:trHeight w:val="227"/>
        </w:trPr>
        <w:tc>
          <w:tcPr>
            <w:tcW w:w="3584" w:type="pct"/>
            <w:vMerge/>
          </w:tcPr>
          <w:p w:rsidR="00DC2916" w:rsidRPr="00DC2916" w:rsidRDefault="00DC2916" w:rsidP="00DC2916">
            <w:pPr>
              <w:rPr>
                <w:b/>
              </w:rPr>
            </w:pPr>
          </w:p>
        </w:tc>
        <w:tc>
          <w:tcPr>
            <w:tcW w:w="1416" w:type="pct"/>
            <w:tcBorders>
              <w:top w:val="single" w:sz="4" w:space="0" w:color="auto"/>
            </w:tcBorders>
          </w:tcPr>
          <w:p w:rsidR="00DC2916" w:rsidRPr="00DC2916" w:rsidRDefault="00DC2916" w:rsidP="00DC2916">
            <w:pPr>
              <w:jc w:val="center"/>
              <w:rPr>
                <w:b/>
              </w:rPr>
            </w:pPr>
            <w:r w:rsidRPr="00DC2916">
              <w:rPr>
                <w:b/>
                <w:sz w:val="22"/>
                <w:szCs w:val="22"/>
              </w:rPr>
              <w:t>BGN’000</w:t>
            </w:r>
          </w:p>
        </w:tc>
      </w:tr>
      <w:tr w:rsidR="00DC2916" w:rsidRPr="00DC2916" w:rsidTr="000554E8">
        <w:trPr>
          <w:trHeight w:val="227"/>
        </w:trPr>
        <w:tc>
          <w:tcPr>
            <w:tcW w:w="3584" w:type="pct"/>
          </w:tcPr>
          <w:p w:rsidR="00DC2916" w:rsidRPr="00DC2916" w:rsidRDefault="00DC2916" w:rsidP="00DC2916">
            <w:pPr>
              <w:rPr>
                <w:b/>
              </w:rPr>
            </w:pPr>
          </w:p>
        </w:tc>
        <w:tc>
          <w:tcPr>
            <w:tcW w:w="1416" w:type="pct"/>
            <w:tcBorders>
              <w:bottom w:val="single" w:sz="2" w:space="0" w:color="auto"/>
            </w:tcBorders>
          </w:tcPr>
          <w:p w:rsidR="00DC2916" w:rsidRPr="00DC2916" w:rsidRDefault="00DC2916" w:rsidP="00DC2916">
            <w:pPr>
              <w:jc w:val="right"/>
            </w:pPr>
          </w:p>
        </w:tc>
      </w:tr>
      <w:tr w:rsidR="00DC2916" w:rsidRPr="00DC2916" w:rsidTr="000554E8">
        <w:trPr>
          <w:trHeight w:val="227"/>
        </w:trPr>
        <w:tc>
          <w:tcPr>
            <w:tcW w:w="3584" w:type="pct"/>
          </w:tcPr>
          <w:p w:rsidR="00DC2916" w:rsidRPr="00DC2916" w:rsidRDefault="00DC2916" w:rsidP="00DC2916">
            <w:pPr>
              <w:rPr>
                <w:color w:val="000000"/>
              </w:rPr>
            </w:pPr>
            <w:r w:rsidRPr="00DC2916">
              <w:rPr>
                <w:sz w:val="22"/>
                <w:szCs w:val="22"/>
              </w:rPr>
              <w:t>Total remuneration</w:t>
            </w:r>
          </w:p>
        </w:tc>
        <w:tc>
          <w:tcPr>
            <w:tcW w:w="1416" w:type="pct"/>
            <w:tcBorders>
              <w:top w:val="single" w:sz="2" w:space="0" w:color="auto"/>
              <w:bottom w:val="double" w:sz="4" w:space="0" w:color="auto"/>
            </w:tcBorders>
          </w:tcPr>
          <w:p w:rsidR="00DC2916" w:rsidRPr="00DC2916" w:rsidRDefault="00DC2916" w:rsidP="00DC2916">
            <w:pPr>
              <w:jc w:val="right"/>
              <w:rPr>
                <w:sz w:val="22"/>
                <w:szCs w:val="22"/>
              </w:rPr>
            </w:pPr>
            <w:r w:rsidRPr="00DC2916">
              <w:rPr>
                <w:sz w:val="22"/>
                <w:szCs w:val="22"/>
              </w:rPr>
              <w:t>17,297</w:t>
            </w:r>
          </w:p>
        </w:tc>
      </w:tr>
      <w:tr w:rsidR="00DC2916" w:rsidRPr="00DC2916" w:rsidTr="000554E8">
        <w:trPr>
          <w:trHeight w:val="227"/>
        </w:trPr>
        <w:tc>
          <w:tcPr>
            <w:tcW w:w="3584" w:type="pct"/>
          </w:tcPr>
          <w:p w:rsidR="00DC2916" w:rsidRPr="00DC2916" w:rsidRDefault="00DC2916" w:rsidP="00DC2916">
            <w:pPr>
              <w:rPr>
                <w:color w:val="000000"/>
                <w:sz w:val="22"/>
                <w:szCs w:val="22"/>
              </w:rPr>
            </w:pPr>
            <w:r w:rsidRPr="00DC2916">
              <w:rPr>
                <w:sz w:val="22"/>
                <w:szCs w:val="22"/>
              </w:rPr>
              <w:t xml:space="preserve">Net assets </w:t>
            </w:r>
          </w:p>
        </w:tc>
        <w:tc>
          <w:tcPr>
            <w:tcW w:w="1416" w:type="pct"/>
            <w:tcBorders>
              <w:top w:val="double" w:sz="4" w:space="0" w:color="auto"/>
            </w:tcBorders>
          </w:tcPr>
          <w:p w:rsidR="00DC2916" w:rsidRPr="00DC2916" w:rsidRDefault="00DC2916" w:rsidP="00DC2916">
            <w:pPr>
              <w:jc w:val="right"/>
              <w:rPr>
                <w:sz w:val="22"/>
                <w:szCs w:val="22"/>
              </w:rPr>
            </w:pPr>
            <w:r w:rsidRPr="00DC2916">
              <w:rPr>
                <w:sz w:val="22"/>
                <w:szCs w:val="22"/>
              </w:rPr>
              <w:t>4,955</w:t>
            </w:r>
          </w:p>
        </w:tc>
      </w:tr>
      <w:tr w:rsidR="00DC2916" w:rsidRPr="00DC2916" w:rsidTr="000554E8">
        <w:trPr>
          <w:trHeight w:val="227"/>
        </w:trPr>
        <w:tc>
          <w:tcPr>
            <w:tcW w:w="3584" w:type="pct"/>
          </w:tcPr>
          <w:p w:rsidR="00DC2916" w:rsidRPr="00DC2916" w:rsidRDefault="00DC2916" w:rsidP="00DC2916">
            <w:pPr>
              <w:rPr>
                <w:color w:val="000000"/>
                <w:sz w:val="22"/>
                <w:szCs w:val="22"/>
              </w:rPr>
            </w:pPr>
            <w:r w:rsidRPr="00DC2916">
              <w:rPr>
                <w:sz w:val="22"/>
                <w:szCs w:val="22"/>
              </w:rPr>
              <w:t xml:space="preserve">Goodwill </w:t>
            </w:r>
          </w:p>
        </w:tc>
        <w:tc>
          <w:tcPr>
            <w:tcW w:w="1416" w:type="pct"/>
          </w:tcPr>
          <w:p w:rsidR="00DC2916" w:rsidRPr="00DC2916" w:rsidRDefault="00DC2916" w:rsidP="00DC2916">
            <w:pPr>
              <w:jc w:val="right"/>
              <w:rPr>
                <w:sz w:val="22"/>
                <w:szCs w:val="22"/>
              </w:rPr>
            </w:pPr>
            <w:r w:rsidRPr="00DC2916">
              <w:rPr>
                <w:sz w:val="22"/>
                <w:szCs w:val="22"/>
              </w:rPr>
              <w:t>6,146</w:t>
            </w:r>
          </w:p>
        </w:tc>
      </w:tr>
      <w:tr w:rsidR="00DC2916" w:rsidRPr="00DC2916" w:rsidTr="000554E8">
        <w:trPr>
          <w:trHeight w:val="227"/>
        </w:trPr>
        <w:tc>
          <w:tcPr>
            <w:tcW w:w="3584" w:type="pct"/>
          </w:tcPr>
          <w:p w:rsidR="00DC2916" w:rsidRPr="00DC2916" w:rsidRDefault="00DC2916" w:rsidP="00DC2916">
            <w:pPr>
              <w:rPr>
                <w:color w:val="000000"/>
                <w:sz w:val="22"/>
                <w:szCs w:val="22"/>
              </w:rPr>
            </w:pPr>
            <w:r w:rsidRPr="00DC2916">
              <w:rPr>
                <w:color w:val="000000"/>
                <w:sz w:val="22"/>
                <w:szCs w:val="22"/>
              </w:rPr>
              <w:t>Intangible assets, incl.:</w:t>
            </w:r>
          </w:p>
        </w:tc>
        <w:tc>
          <w:tcPr>
            <w:tcW w:w="1416" w:type="pct"/>
            <w:tcBorders>
              <w:bottom w:val="single" w:sz="2" w:space="0" w:color="auto"/>
            </w:tcBorders>
          </w:tcPr>
          <w:p w:rsidR="00DC2916" w:rsidRPr="00DC2916" w:rsidRDefault="00DC2916" w:rsidP="00DC2916">
            <w:pPr>
              <w:jc w:val="right"/>
              <w:rPr>
                <w:sz w:val="22"/>
                <w:szCs w:val="22"/>
              </w:rPr>
            </w:pPr>
            <w:r w:rsidRPr="00DC2916">
              <w:rPr>
                <w:sz w:val="22"/>
                <w:szCs w:val="22"/>
              </w:rPr>
              <w:t>6,196</w:t>
            </w:r>
          </w:p>
        </w:tc>
      </w:tr>
      <w:tr w:rsidR="00DC2916" w:rsidRPr="00DC2916" w:rsidTr="000554E8">
        <w:trPr>
          <w:trHeight w:val="227"/>
        </w:trPr>
        <w:tc>
          <w:tcPr>
            <w:tcW w:w="3584" w:type="pct"/>
          </w:tcPr>
          <w:p w:rsidR="00DC2916" w:rsidRPr="00DC2916" w:rsidRDefault="00DC2916" w:rsidP="00DC2916">
            <w:pPr>
              <w:rPr>
                <w:i/>
                <w:color w:val="000000"/>
              </w:rPr>
            </w:pPr>
            <w:r w:rsidRPr="00DC2916">
              <w:rPr>
                <w:i/>
                <w:color w:val="000000"/>
                <w:sz w:val="22"/>
                <w:szCs w:val="22"/>
              </w:rPr>
              <w:t>Commercial contract</w:t>
            </w:r>
          </w:p>
        </w:tc>
        <w:tc>
          <w:tcPr>
            <w:tcW w:w="1416" w:type="pct"/>
            <w:tcBorders>
              <w:top w:val="single" w:sz="2" w:space="0" w:color="auto"/>
            </w:tcBorders>
          </w:tcPr>
          <w:p w:rsidR="00DC2916" w:rsidRPr="00DC2916" w:rsidRDefault="00DC2916" w:rsidP="00DC2916">
            <w:pPr>
              <w:jc w:val="right"/>
              <w:rPr>
                <w:i/>
                <w:sz w:val="22"/>
                <w:szCs w:val="22"/>
              </w:rPr>
            </w:pPr>
            <w:r w:rsidRPr="00DC2916">
              <w:rPr>
                <w:i/>
                <w:sz w:val="22"/>
                <w:szCs w:val="22"/>
              </w:rPr>
              <w:t>4,960</w:t>
            </w:r>
          </w:p>
        </w:tc>
      </w:tr>
      <w:tr w:rsidR="00DC2916" w:rsidRPr="00DC2916" w:rsidTr="000554E8">
        <w:trPr>
          <w:trHeight w:val="227"/>
        </w:trPr>
        <w:tc>
          <w:tcPr>
            <w:tcW w:w="3584" w:type="pct"/>
          </w:tcPr>
          <w:p w:rsidR="00DC2916" w:rsidRPr="00DC2916" w:rsidRDefault="00DC2916" w:rsidP="00DC2916">
            <w:pPr>
              <w:rPr>
                <w:i/>
                <w:color w:val="000000"/>
                <w:sz w:val="22"/>
                <w:szCs w:val="22"/>
              </w:rPr>
            </w:pPr>
            <w:r w:rsidRPr="00DC2916">
              <w:rPr>
                <w:i/>
                <w:color w:val="000000"/>
                <w:sz w:val="22"/>
                <w:szCs w:val="22"/>
              </w:rPr>
              <w:t>Existing contracts (apart from customers)</w:t>
            </w:r>
          </w:p>
        </w:tc>
        <w:tc>
          <w:tcPr>
            <w:tcW w:w="1416" w:type="pct"/>
          </w:tcPr>
          <w:p w:rsidR="00DC2916" w:rsidRPr="00DC2916" w:rsidRDefault="00DC2916" w:rsidP="00DC2916">
            <w:pPr>
              <w:jc w:val="right"/>
              <w:rPr>
                <w:i/>
                <w:sz w:val="22"/>
                <w:szCs w:val="22"/>
              </w:rPr>
            </w:pPr>
            <w:r w:rsidRPr="00DC2916">
              <w:rPr>
                <w:i/>
                <w:sz w:val="22"/>
                <w:szCs w:val="22"/>
              </w:rPr>
              <w:t>992</w:t>
            </w:r>
          </w:p>
        </w:tc>
      </w:tr>
      <w:tr w:rsidR="00DC2916" w:rsidRPr="00DC2916" w:rsidTr="000554E8">
        <w:trPr>
          <w:trHeight w:val="227"/>
        </w:trPr>
        <w:tc>
          <w:tcPr>
            <w:tcW w:w="3584" w:type="pct"/>
          </w:tcPr>
          <w:p w:rsidR="00DC2916" w:rsidRPr="00DC2916" w:rsidRDefault="00DC2916" w:rsidP="00DC2916">
            <w:pPr>
              <w:rPr>
                <w:i/>
                <w:color w:val="000000"/>
                <w:sz w:val="22"/>
                <w:szCs w:val="22"/>
              </w:rPr>
            </w:pPr>
            <w:r w:rsidRPr="00DC2916">
              <w:rPr>
                <w:i/>
                <w:color w:val="000000"/>
                <w:sz w:val="22"/>
                <w:szCs w:val="22"/>
              </w:rPr>
              <w:t>Built-up management capacity</w:t>
            </w:r>
          </w:p>
        </w:tc>
        <w:tc>
          <w:tcPr>
            <w:tcW w:w="1416" w:type="pct"/>
          </w:tcPr>
          <w:p w:rsidR="00DC2916" w:rsidRPr="00DC2916" w:rsidRDefault="00DC2916" w:rsidP="00DC2916">
            <w:pPr>
              <w:jc w:val="right"/>
              <w:rPr>
                <w:i/>
                <w:sz w:val="22"/>
                <w:szCs w:val="22"/>
              </w:rPr>
            </w:pPr>
            <w:r w:rsidRPr="00DC2916">
              <w:rPr>
                <w:i/>
                <w:sz w:val="22"/>
                <w:szCs w:val="22"/>
              </w:rPr>
              <w:t>244</w:t>
            </w:r>
          </w:p>
        </w:tc>
      </w:tr>
    </w:tbl>
    <w:p w:rsidR="00DC2916" w:rsidRPr="00DC2916" w:rsidRDefault="00DC2916" w:rsidP="00DC2916">
      <w:pPr>
        <w:autoSpaceDE w:val="0"/>
        <w:autoSpaceDN w:val="0"/>
        <w:adjustRightInd w:val="0"/>
        <w:jc w:val="both"/>
        <w:rPr>
          <w:sz w:val="22"/>
          <w:szCs w:val="22"/>
        </w:rPr>
      </w:pPr>
    </w:p>
    <w:p w:rsidR="00DC2916" w:rsidRPr="00DC2916" w:rsidRDefault="00DC2916" w:rsidP="00DC2916">
      <w:pPr>
        <w:contextualSpacing/>
        <w:jc w:val="both"/>
        <w:rPr>
          <w:sz w:val="22"/>
          <w:szCs w:val="22"/>
        </w:rPr>
      </w:pPr>
      <w:r w:rsidRPr="00DC2916">
        <w:rPr>
          <w:sz w:val="22"/>
          <w:szCs w:val="22"/>
        </w:rPr>
        <w:t>Dynamic Parcel Distribution S.A. is registered with the National Commercial Register to the Ministry of Justice of Romania with sole registration code (SRC) 9566918, having its seat and registered address in the Region of Infolv, city of Buftea, 20 “Tamash” Street, hall 4A and 4B. The object of the company consists in forwarding and courier services. The share capital of the company comes up to RON 90 thousand.</w:t>
      </w:r>
    </w:p>
    <w:p w:rsidR="00E922D1" w:rsidRPr="00C66B91" w:rsidRDefault="00E922D1" w:rsidP="00E922D1">
      <w:pPr>
        <w:autoSpaceDE w:val="0"/>
        <w:autoSpaceDN w:val="0"/>
        <w:adjustRightInd w:val="0"/>
        <w:jc w:val="both"/>
        <w:rPr>
          <w:sz w:val="22"/>
          <w:szCs w:val="22"/>
          <w:lang w:val="en-GB"/>
        </w:rPr>
      </w:pPr>
    </w:p>
    <w:p w:rsidR="00E922D1" w:rsidRPr="00C66B91" w:rsidRDefault="00E922D1" w:rsidP="00E922D1">
      <w:pPr>
        <w:autoSpaceDE w:val="0"/>
        <w:autoSpaceDN w:val="0"/>
        <w:adjustRightInd w:val="0"/>
        <w:jc w:val="both"/>
        <w:rPr>
          <w:sz w:val="22"/>
          <w:szCs w:val="22"/>
          <w:lang w:val="en-GB"/>
        </w:rPr>
      </w:pPr>
    </w:p>
    <w:p w:rsidR="00DC2916" w:rsidRPr="00DC2916" w:rsidRDefault="00DC2916" w:rsidP="00DC2916">
      <w:pPr>
        <w:tabs>
          <w:tab w:val="num" w:pos="540"/>
        </w:tabs>
        <w:autoSpaceDE w:val="0"/>
        <w:autoSpaceDN w:val="0"/>
        <w:adjustRightInd w:val="0"/>
        <w:rPr>
          <w:b/>
          <w:sz w:val="22"/>
          <w:szCs w:val="22"/>
          <w:lang w:val="en-GB"/>
        </w:rPr>
      </w:pPr>
      <w:r w:rsidRPr="00DC2916">
        <w:rPr>
          <w:b/>
          <w:sz w:val="22"/>
          <w:szCs w:val="22"/>
          <w:lang w:val="en-GB"/>
        </w:rPr>
        <w:t>6. INVENTORIES</w:t>
      </w:r>
    </w:p>
    <w:p w:rsidR="00DC2916" w:rsidRPr="00DC2916" w:rsidRDefault="00DC2916" w:rsidP="00DC2916">
      <w:pPr>
        <w:tabs>
          <w:tab w:val="num" w:pos="540"/>
        </w:tabs>
        <w:autoSpaceDE w:val="0"/>
        <w:autoSpaceDN w:val="0"/>
        <w:adjustRightInd w:val="0"/>
        <w:rPr>
          <w:b/>
          <w:sz w:val="22"/>
          <w:szCs w:val="22"/>
          <w:lang w:val="en-GB"/>
        </w:rPr>
      </w:pPr>
    </w:p>
    <w:p w:rsidR="00E922D1" w:rsidRPr="00DC2916" w:rsidRDefault="00DC2916" w:rsidP="00DC2916">
      <w:pPr>
        <w:tabs>
          <w:tab w:val="num" w:pos="540"/>
        </w:tabs>
        <w:autoSpaceDE w:val="0"/>
        <w:autoSpaceDN w:val="0"/>
        <w:adjustRightInd w:val="0"/>
        <w:rPr>
          <w:sz w:val="22"/>
          <w:szCs w:val="22"/>
          <w:lang w:val="en-GB"/>
        </w:rPr>
      </w:pPr>
      <w:r w:rsidRPr="00DC2916">
        <w:rPr>
          <w:sz w:val="22"/>
          <w:szCs w:val="22"/>
          <w:lang w:val="en-GB"/>
        </w:rPr>
        <w:t>As of 30 June 2015, the value of the inventories includes:</w:t>
      </w:r>
    </w:p>
    <w:p w:rsidR="00DC2916" w:rsidRPr="00C66B91" w:rsidRDefault="00DC2916" w:rsidP="00DC2916">
      <w:pPr>
        <w:tabs>
          <w:tab w:val="num" w:pos="540"/>
        </w:tabs>
        <w:autoSpaceDE w:val="0"/>
        <w:autoSpaceDN w:val="0"/>
        <w:adjustRightInd w:val="0"/>
        <w:rPr>
          <w:b/>
          <w:sz w:val="22"/>
          <w:szCs w:val="22"/>
          <w:lang w:val="en-GB"/>
        </w:rPr>
      </w:pPr>
    </w:p>
    <w:tbl>
      <w:tblPr>
        <w:tblW w:w="4904" w:type="pct"/>
        <w:tblLook w:val="0000" w:firstRow="0" w:lastRow="0" w:firstColumn="0" w:lastColumn="0" w:noHBand="0" w:noVBand="0"/>
      </w:tblPr>
      <w:tblGrid>
        <w:gridCol w:w="5757"/>
        <w:gridCol w:w="1581"/>
        <w:gridCol w:w="1576"/>
      </w:tblGrid>
      <w:tr w:rsidR="00010F3E" w:rsidRPr="00C66B91" w:rsidTr="00010F3E">
        <w:trPr>
          <w:trHeight w:val="227"/>
        </w:trPr>
        <w:tc>
          <w:tcPr>
            <w:tcW w:w="3229" w:type="pct"/>
            <w:vMerge w:val="restart"/>
          </w:tcPr>
          <w:p w:rsidR="00010F3E" w:rsidRPr="00C66B91" w:rsidRDefault="00010F3E" w:rsidP="00010F3E">
            <w:pPr>
              <w:rPr>
                <w:b/>
                <w:lang w:val="en-GB"/>
              </w:rPr>
            </w:pPr>
          </w:p>
        </w:tc>
        <w:tc>
          <w:tcPr>
            <w:tcW w:w="887" w:type="pct"/>
            <w:tcBorders>
              <w:bottom w:val="single" w:sz="4" w:space="0" w:color="auto"/>
            </w:tcBorders>
          </w:tcPr>
          <w:p w:rsidR="00010F3E" w:rsidRPr="00C66B91" w:rsidRDefault="008A588E" w:rsidP="00010F3E">
            <w:pPr>
              <w:jc w:val="center"/>
              <w:rPr>
                <w:b/>
                <w:lang w:val="en-GB"/>
              </w:rPr>
            </w:pPr>
            <w:r w:rsidRPr="00C66B91">
              <w:rPr>
                <w:b/>
                <w:sz w:val="22"/>
                <w:szCs w:val="22"/>
                <w:lang w:val="en-GB"/>
              </w:rPr>
              <w:t>30.06</w:t>
            </w:r>
            <w:r w:rsidR="00010F3E" w:rsidRPr="00C66B91">
              <w:rPr>
                <w:b/>
                <w:sz w:val="22"/>
                <w:szCs w:val="22"/>
                <w:lang w:val="en-GB"/>
              </w:rPr>
              <w:t>.2015</w:t>
            </w:r>
          </w:p>
        </w:tc>
        <w:tc>
          <w:tcPr>
            <w:tcW w:w="884" w:type="pct"/>
            <w:tcBorders>
              <w:bottom w:val="single" w:sz="4" w:space="0" w:color="auto"/>
            </w:tcBorders>
          </w:tcPr>
          <w:p w:rsidR="00010F3E" w:rsidRPr="00C66B91" w:rsidRDefault="00010F3E" w:rsidP="00010F3E">
            <w:pPr>
              <w:jc w:val="center"/>
              <w:rPr>
                <w:b/>
                <w:lang w:val="en-GB"/>
              </w:rPr>
            </w:pPr>
            <w:r w:rsidRPr="00C66B91">
              <w:rPr>
                <w:b/>
                <w:sz w:val="22"/>
                <w:szCs w:val="22"/>
                <w:lang w:val="en-GB"/>
              </w:rPr>
              <w:t>31.12.2014</w:t>
            </w:r>
          </w:p>
        </w:tc>
      </w:tr>
      <w:tr w:rsidR="00010F3E" w:rsidRPr="00C66B91" w:rsidTr="00010F3E">
        <w:trPr>
          <w:trHeight w:val="227"/>
        </w:trPr>
        <w:tc>
          <w:tcPr>
            <w:tcW w:w="3229" w:type="pct"/>
            <w:vMerge/>
          </w:tcPr>
          <w:p w:rsidR="00010F3E" w:rsidRPr="00C66B91" w:rsidRDefault="00010F3E" w:rsidP="00010F3E">
            <w:pPr>
              <w:rPr>
                <w:b/>
                <w:lang w:val="en-GB"/>
              </w:rPr>
            </w:pPr>
          </w:p>
        </w:tc>
        <w:tc>
          <w:tcPr>
            <w:tcW w:w="887" w:type="pct"/>
            <w:tcBorders>
              <w:top w:val="single" w:sz="4" w:space="0" w:color="auto"/>
            </w:tcBorders>
          </w:tcPr>
          <w:p w:rsidR="00010F3E" w:rsidRPr="00C66B91" w:rsidRDefault="00010F3E" w:rsidP="00010F3E">
            <w:pPr>
              <w:jc w:val="center"/>
              <w:rPr>
                <w:b/>
                <w:lang w:val="en-GB"/>
              </w:rPr>
            </w:pPr>
            <w:r w:rsidRPr="00C66B91">
              <w:rPr>
                <w:b/>
                <w:sz w:val="22"/>
                <w:szCs w:val="22"/>
                <w:lang w:val="en-GB"/>
              </w:rPr>
              <w:t>BGN’000</w:t>
            </w:r>
          </w:p>
        </w:tc>
        <w:tc>
          <w:tcPr>
            <w:tcW w:w="884" w:type="pct"/>
            <w:tcBorders>
              <w:top w:val="single" w:sz="4" w:space="0" w:color="auto"/>
            </w:tcBorders>
          </w:tcPr>
          <w:p w:rsidR="00010F3E" w:rsidRPr="00C66B91" w:rsidRDefault="00010F3E" w:rsidP="00010F3E">
            <w:pPr>
              <w:jc w:val="center"/>
              <w:rPr>
                <w:b/>
                <w:lang w:val="en-GB"/>
              </w:rPr>
            </w:pPr>
            <w:r w:rsidRPr="00C66B91">
              <w:rPr>
                <w:b/>
                <w:sz w:val="22"/>
                <w:szCs w:val="22"/>
                <w:lang w:val="en-GB"/>
              </w:rPr>
              <w:t>BGN’000</w:t>
            </w:r>
          </w:p>
        </w:tc>
      </w:tr>
      <w:tr w:rsidR="00010F3E" w:rsidRPr="00C66B91" w:rsidTr="00010F3E">
        <w:trPr>
          <w:trHeight w:val="227"/>
        </w:trPr>
        <w:tc>
          <w:tcPr>
            <w:tcW w:w="3229" w:type="pct"/>
          </w:tcPr>
          <w:p w:rsidR="00010F3E" w:rsidRPr="00C66B91" w:rsidRDefault="00010F3E" w:rsidP="00010F3E">
            <w:pPr>
              <w:rPr>
                <w:b/>
                <w:lang w:val="en-GB"/>
              </w:rPr>
            </w:pPr>
          </w:p>
        </w:tc>
        <w:tc>
          <w:tcPr>
            <w:tcW w:w="887" w:type="pct"/>
          </w:tcPr>
          <w:p w:rsidR="00010F3E" w:rsidRPr="00C66B91" w:rsidRDefault="00010F3E" w:rsidP="00010F3E">
            <w:pPr>
              <w:jc w:val="right"/>
              <w:rPr>
                <w:lang w:val="en-GB"/>
              </w:rPr>
            </w:pPr>
          </w:p>
        </w:tc>
        <w:tc>
          <w:tcPr>
            <w:tcW w:w="884" w:type="pct"/>
          </w:tcPr>
          <w:p w:rsidR="00010F3E" w:rsidRPr="00C66B91" w:rsidRDefault="00010F3E" w:rsidP="00010F3E">
            <w:pPr>
              <w:jc w:val="right"/>
              <w:rPr>
                <w:lang w:val="en-GB"/>
              </w:rPr>
            </w:pPr>
          </w:p>
        </w:tc>
      </w:tr>
      <w:tr w:rsidR="00DC2916" w:rsidRPr="00C66B91" w:rsidTr="00010F3E">
        <w:trPr>
          <w:trHeight w:val="227"/>
        </w:trPr>
        <w:tc>
          <w:tcPr>
            <w:tcW w:w="3229" w:type="pct"/>
          </w:tcPr>
          <w:p w:rsidR="00DC2916" w:rsidRPr="005E30E6" w:rsidRDefault="00DC2916" w:rsidP="00DC2916">
            <w:pPr>
              <w:rPr>
                <w:color w:val="000000"/>
              </w:rPr>
            </w:pPr>
            <w:r w:rsidRPr="005E30E6">
              <w:rPr>
                <w:color w:val="000000"/>
                <w:sz w:val="22"/>
                <w:szCs w:val="22"/>
              </w:rPr>
              <w:t xml:space="preserve">Materials </w:t>
            </w:r>
          </w:p>
        </w:tc>
        <w:tc>
          <w:tcPr>
            <w:tcW w:w="887" w:type="pct"/>
            <w:vAlign w:val="bottom"/>
          </w:tcPr>
          <w:p w:rsidR="00DC2916" w:rsidRPr="00C66B91" w:rsidRDefault="00DC2916" w:rsidP="00DC2916">
            <w:pPr>
              <w:jc w:val="right"/>
              <w:rPr>
                <w:color w:val="000000"/>
                <w:sz w:val="22"/>
                <w:szCs w:val="22"/>
                <w:lang w:val="en-GB" w:eastAsia="bg-BG"/>
              </w:rPr>
            </w:pPr>
            <w:r w:rsidRPr="00C66B91">
              <w:rPr>
                <w:color w:val="000000"/>
                <w:sz w:val="22"/>
                <w:szCs w:val="22"/>
                <w:lang w:val="en-GB" w:eastAsia="bg-BG"/>
              </w:rPr>
              <w:t>440</w:t>
            </w:r>
          </w:p>
        </w:tc>
        <w:tc>
          <w:tcPr>
            <w:tcW w:w="884" w:type="pct"/>
            <w:vAlign w:val="bottom"/>
          </w:tcPr>
          <w:p w:rsidR="00DC2916" w:rsidRPr="00C66B91" w:rsidRDefault="00DC2916" w:rsidP="00DC2916">
            <w:pPr>
              <w:jc w:val="right"/>
              <w:rPr>
                <w:color w:val="000000"/>
                <w:sz w:val="22"/>
                <w:szCs w:val="22"/>
                <w:lang w:val="en-GB" w:eastAsia="bg-BG"/>
              </w:rPr>
            </w:pPr>
            <w:r w:rsidRPr="00C66B91">
              <w:rPr>
                <w:color w:val="000000"/>
                <w:sz w:val="22"/>
                <w:szCs w:val="22"/>
                <w:lang w:val="en-GB" w:eastAsia="bg-BG"/>
              </w:rPr>
              <w:t>337</w:t>
            </w:r>
          </w:p>
        </w:tc>
      </w:tr>
      <w:tr w:rsidR="00DC2916" w:rsidRPr="00C66B91" w:rsidTr="00010F3E">
        <w:trPr>
          <w:trHeight w:val="227"/>
        </w:trPr>
        <w:tc>
          <w:tcPr>
            <w:tcW w:w="3229" w:type="pct"/>
          </w:tcPr>
          <w:p w:rsidR="00DC2916" w:rsidRPr="005E30E6" w:rsidRDefault="00DC2916" w:rsidP="00DC2916">
            <w:pPr>
              <w:rPr>
                <w:color w:val="000000"/>
              </w:rPr>
            </w:pPr>
            <w:r w:rsidRPr="005E30E6">
              <w:rPr>
                <w:color w:val="000000"/>
                <w:sz w:val="22"/>
                <w:szCs w:val="22"/>
              </w:rPr>
              <w:t xml:space="preserve">Fuel </w:t>
            </w:r>
          </w:p>
        </w:tc>
        <w:tc>
          <w:tcPr>
            <w:tcW w:w="887" w:type="pct"/>
            <w:vAlign w:val="bottom"/>
          </w:tcPr>
          <w:p w:rsidR="00DC2916" w:rsidRPr="00C66B91" w:rsidRDefault="00DC2916" w:rsidP="00DC2916">
            <w:pPr>
              <w:jc w:val="right"/>
              <w:rPr>
                <w:color w:val="000000"/>
                <w:sz w:val="22"/>
                <w:szCs w:val="22"/>
                <w:lang w:val="en-GB"/>
              </w:rPr>
            </w:pPr>
            <w:r w:rsidRPr="00C66B91">
              <w:rPr>
                <w:color w:val="000000"/>
                <w:sz w:val="22"/>
                <w:szCs w:val="22"/>
                <w:lang w:val="en-GB"/>
              </w:rPr>
              <w:t>149</w:t>
            </w:r>
          </w:p>
        </w:tc>
        <w:tc>
          <w:tcPr>
            <w:tcW w:w="884" w:type="pct"/>
            <w:vAlign w:val="bottom"/>
          </w:tcPr>
          <w:p w:rsidR="00DC2916" w:rsidRPr="00C66B91" w:rsidRDefault="00DC2916" w:rsidP="00DC2916">
            <w:pPr>
              <w:jc w:val="right"/>
              <w:rPr>
                <w:color w:val="000000"/>
                <w:sz w:val="22"/>
                <w:szCs w:val="22"/>
                <w:lang w:val="en-GB"/>
              </w:rPr>
            </w:pPr>
            <w:r w:rsidRPr="00C66B91">
              <w:rPr>
                <w:color w:val="000000"/>
                <w:sz w:val="22"/>
                <w:szCs w:val="22"/>
                <w:lang w:val="en-GB"/>
              </w:rPr>
              <w:t>183</w:t>
            </w:r>
          </w:p>
        </w:tc>
      </w:tr>
      <w:tr w:rsidR="00DC2916" w:rsidRPr="00C66B91" w:rsidTr="00010F3E">
        <w:trPr>
          <w:trHeight w:val="227"/>
        </w:trPr>
        <w:tc>
          <w:tcPr>
            <w:tcW w:w="3229" w:type="pct"/>
          </w:tcPr>
          <w:p w:rsidR="00DC2916" w:rsidRPr="005E30E6" w:rsidRDefault="00DC2916" w:rsidP="00DC2916">
            <w:pPr>
              <w:rPr>
                <w:color w:val="000000"/>
                <w:sz w:val="22"/>
                <w:szCs w:val="22"/>
              </w:rPr>
            </w:pPr>
            <w:r w:rsidRPr="005E30E6">
              <w:rPr>
                <w:color w:val="000000"/>
                <w:sz w:val="22"/>
                <w:szCs w:val="22"/>
              </w:rPr>
              <w:t xml:space="preserve">Goods </w:t>
            </w:r>
          </w:p>
        </w:tc>
        <w:tc>
          <w:tcPr>
            <w:tcW w:w="887" w:type="pct"/>
            <w:vAlign w:val="bottom"/>
          </w:tcPr>
          <w:p w:rsidR="00DC2916" w:rsidRPr="00C66B91" w:rsidRDefault="00DC2916" w:rsidP="00DC2916">
            <w:pPr>
              <w:jc w:val="right"/>
              <w:rPr>
                <w:color w:val="000000"/>
                <w:sz w:val="22"/>
                <w:szCs w:val="22"/>
                <w:lang w:val="en-GB"/>
              </w:rPr>
            </w:pPr>
            <w:r w:rsidRPr="00C66B91">
              <w:rPr>
                <w:color w:val="000000"/>
                <w:sz w:val="22"/>
                <w:szCs w:val="22"/>
                <w:lang w:val="en-GB"/>
              </w:rPr>
              <w:t>607</w:t>
            </w:r>
          </w:p>
        </w:tc>
        <w:tc>
          <w:tcPr>
            <w:tcW w:w="884" w:type="pct"/>
            <w:vAlign w:val="bottom"/>
          </w:tcPr>
          <w:p w:rsidR="00DC2916" w:rsidRPr="00C66B91" w:rsidRDefault="00DC2916" w:rsidP="00DC2916">
            <w:pPr>
              <w:jc w:val="right"/>
              <w:rPr>
                <w:color w:val="000000"/>
                <w:sz w:val="22"/>
                <w:szCs w:val="22"/>
                <w:lang w:val="en-GB"/>
              </w:rPr>
            </w:pPr>
            <w:r w:rsidRPr="00C66B91">
              <w:rPr>
                <w:color w:val="000000"/>
                <w:sz w:val="22"/>
                <w:szCs w:val="22"/>
                <w:lang w:val="en-GB"/>
              </w:rPr>
              <w:t>10</w:t>
            </w:r>
          </w:p>
        </w:tc>
      </w:tr>
      <w:tr w:rsidR="00DC2916" w:rsidRPr="00C66B91" w:rsidTr="00010F3E">
        <w:trPr>
          <w:trHeight w:val="227"/>
        </w:trPr>
        <w:tc>
          <w:tcPr>
            <w:tcW w:w="3229" w:type="pct"/>
          </w:tcPr>
          <w:p w:rsidR="00DC2916" w:rsidRPr="005E30E6" w:rsidRDefault="00DC2916" w:rsidP="00DC2916">
            <w:pPr>
              <w:jc w:val="right"/>
              <w:rPr>
                <w:b/>
              </w:rPr>
            </w:pPr>
            <w:r w:rsidRPr="005E30E6">
              <w:rPr>
                <w:b/>
                <w:sz w:val="22"/>
                <w:szCs w:val="22"/>
              </w:rPr>
              <w:t>Total</w:t>
            </w:r>
          </w:p>
        </w:tc>
        <w:tc>
          <w:tcPr>
            <w:tcW w:w="887" w:type="pct"/>
            <w:tcBorders>
              <w:top w:val="single" w:sz="4" w:space="0" w:color="auto"/>
              <w:bottom w:val="double" w:sz="4" w:space="0" w:color="auto"/>
            </w:tcBorders>
            <w:vAlign w:val="bottom"/>
          </w:tcPr>
          <w:p w:rsidR="00DC2916" w:rsidRPr="00C66B91" w:rsidRDefault="00DC2916" w:rsidP="00DC2916">
            <w:pPr>
              <w:jc w:val="right"/>
              <w:rPr>
                <w:b/>
                <w:bCs/>
                <w:sz w:val="22"/>
                <w:szCs w:val="22"/>
                <w:lang w:val="en-GB"/>
              </w:rPr>
            </w:pPr>
            <w:r w:rsidRPr="00C66B91">
              <w:rPr>
                <w:b/>
                <w:bCs/>
                <w:sz w:val="22"/>
                <w:szCs w:val="22"/>
                <w:lang w:val="en-GB"/>
              </w:rPr>
              <w:t>1,196</w:t>
            </w:r>
          </w:p>
        </w:tc>
        <w:tc>
          <w:tcPr>
            <w:tcW w:w="884" w:type="pct"/>
            <w:tcBorders>
              <w:top w:val="single" w:sz="4" w:space="0" w:color="auto"/>
              <w:bottom w:val="double" w:sz="4" w:space="0" w:color="auto"/>
            </w:tcBorders>
            <w:vAlign w:val="bottom"/>
          </w:tcPr>
          <w:p w:rsidR="00DC2916" w:rsidRPr="00C66B91" w:rsidRDefault="00DC2916" w:rsidP="00DC2916">
            <w:pPr>
              <w:jc w:val="right"/>
              <w:rPr>
                <w:b/>
                <w:bCs/>
                <w:sz w:val="22"/>
                <w:szCs w:val="22"/>
                <w:lang w:val="en-GB"/>
              </w:rPr>
            </w:pPr>
            <w:r w:rsidRPr="00C66B91">
              <w:rPr>
                <w:b/>
                <w:bCs/>
                <w:sz w:val="22"/>
                <w:szCs w:val="22"/>
                <w:lang w:val="en-GB"/>
              </w:rPr>
              <w:t>530</w:t>
            </w:r>
          </w:p>
        </w:tc>
      </w:tr>
    </w:tbl>
    <w:p w:rsidR="00E922D1" w:rsidRPr="00C66B91" w:rsidRDefault="00E922D1" w:rsidP="00E922D1">
      <w:pPr>
        <w:tabs>
          <w:tab w:val="num" w:pos="1080"/>
        </w:tabs>
        <w:autoSpaceDE w:val="0"/>
        <w:autoSpaceDN w:val="0"/>
        <w:adjustRightInd w:val="0"/>
        <w:rPr>
          <w:sz w:val="22"/>
          <w:szCs w:val="22"/>
          <w:lang w:val="en-GB"/>
        </w:rPr>
      </w:pPr>
    </w:p>
    <w:p w:rsidR="00E922D1" w:rsidRPr="00C66B91" w:rsidRDefault="00DC2916" w:rsidP="00E922D1">
      <w:pPr>
        <w:tabs>
          <w:tab w:val="num" w:pos="1080"/>
        </w:tabs>
        <w:autoSpaceDE w:val="0"/>
        <w:autoSpaceDN w:val="0"/>
        <w:adjustRightInd w:val="0"/>
        <w:rPr>
          <w:sz w:val="22"/>
          <w:szCs w:val="22"/>
          <w:lang w:val="en-GB"/>
        </w:rPr>
      </w:pPr>
      <w:r w:rsidRPr="00DC2916">
        <w:rPr>
          <w:sz w:val="22"/>
          <w:szCs w:val="22"/>
          <w:lang w:val="en-GB"/>
        </w:rPr>
        <w:t>As at 3</w:t>
      </w:r>
      <w:r>
        <w:rPr>
          <w:sz w:val="22"/>
          <w:szCs w:val="22"/>
          <w:lang w:val="en-GB"/>
        </w:rPr>
        <w:t>0 June</w:t>
      </w:r>
      <w:r w:rsidRPr="00DC2916">
        <w:rPr>
          <w:sz w:val="22"/>
          <w:szCs w:val="22"/>
          <w:lang w:val="en-GB"/>
        </w:rPr>
        <w:t xml:space="preserve"> 2015, the Group made a review of its inventories, as a result of which it estimated that there are no </w:t>
      </w:r>
      <w:r>
        <w:rPr>
          <w:sz w:val="22"/>
          <w:szCs w:val="22"/>
          <w:lang w:val="en-GB"/>
        </w:rPr>
        <w:t>basis</w:t>
      </w:r>
      <w:r w:rsidRPr="00DC2916">
        <w:rPr>
          <w:sz w:val="22"/>
          <w:szCs w:val="22"/>
          <w:lang w:val="en-GB"/>
        </w:rPr>
        <w:t xml:space="preserve"> </w:t>
      </w:r>
      <w:r>
        <w:rPr>
          <w:sz w:val="22"/>
          <w:szCs w:val="22"/>
          <w:lang w:val="en-GB"/>
        </w:rPr>
        <w:t>for</w:t>
      </w:r>
      <w:r w:rsidRPr="00DC2916">
        <w:rPr>
          <w:sz w:val="22"/>
          <w:szCs w:val="22"/>
          <w:lang w:val="en-GB"/>
        </w:rPr>
        <w:t xml:space="preserve"> impairment.</w:t>
      </w:r>
    </w:p>
    <w:p w:rsidR="00E922D1" w:rsidRPr="00C66B91" w:rsidRDefault="00E922D1" w:rsidP="00E922D1">
      <w:pPr>
        <w:tabs>
          <w:tab w:val="num" w:pos="1080"/>
        </w:tabs>
        <w:autoSpaceDE w:val="0"/>
        <w:autoSpaceDN w:val="0"/>
        <w:adjustRightInd w:val="0"/>
        <w:rPr>
          <w:sz w:val="22"/>
          <w:szCs w:val="22"/>
          <w:lang w:val="en-GB"/>
        </w:rPr>
      </w:pPr>
    </w:p>
    <w:p w:rsidR="00E922D1" w:rsidRPr="00C66B91" w:rsidRDefault="00E922D1" w:rsidP="00E922D1">
      <w:pPr>
        <w:tabs>
          <w:tab w:val="num" w:pos="1080"/>
        </w:tabs>
        <w:autoSpaceDE w:val="0"/>
        <w:autoSpaceDN w:val="0"/>
        <w:adjustRightInd w:val="0"/>
        <w:rPr>
          <w:sz w:val="22"/>
          <w:szCs w:val="22"/>
          <w:lang w:val="en-GB"/>
        </w:rPr>
      </w:pPr>
    </w:p>
    <w:p w:rsidR="00E922D1" w:rsidRPr="00C66B91" w:rsidRDefault="00E922D1" w:rsidP="00E922D1">
      <w:pPr>
        <w:tabs>
          <w:tab w:val="num" w:pos="1080"/>
        </w:tabs>
        <w:autoSpaceDE w:val="0"/>
        <w:autoSpaceDN w:val="0"/>
        <w:adjustRightInd w:val="0"/>
        <w:rPr>
          <w:sz w:val="22"/>
          <w:szCs w:val="22"/>
          <w:lang w:val="en-GB"/>
        </w:rPr>
      </w:pPr>
    </w:p>
    <w:p w:rsidR="00E922D1" w:rsidRPr="00C66B91" w:rsidRDefault="00E922D1" w:rsidP="00E922D1">
      <w:pPr>
        <w:tabs>
          <w:tab w:val="num" w:pos="1080"/>
        </w:tabs>
        <w:autoSpaceDE w:val="0"/>
        <w:autoSpaceDN w:val="0"/>
        <w:adjustRightInd w:val="0"/>
        <w:rPr>
          <w:b/>
          <w:sz w:val="22"/>
          <w:szCs w:val="22"/>
          <w:lang w:val="en-GB"/>
        </w:rPr>
      </w:pPr>
      <w:r w:rsidRPr="00C66B91">
        <w:rPr>
          <w:b/>
          <w:sz w:val="22"/>
          <w:szCs w:val="22"/>
          <w:lang w:val="en-GB"/>
        </w:rPr>
        <w:t xml:space="preserve">7.  </w:t>
      </w:r>
      <w:r w:rsidR="00DC2916" w:rsidRPr="00DC2916">
        <w:rPr>
          <w:b/>
          <w:sz w:val="22"/>
          <w:szCs w:val="22"/>
          <w:lang w:val="en-GB"/>
        </w:rPr>
        <w:t>TRADE AND OTHER RECEIVABLES</w:t>
      </w:r>
    </w:p>
    <w:p w:rsidR="00E922D1" w:rsidRPr="00C66B91" w:rsidRDefault="00E922D1" w:rsidP="00E922D1">
      <w:pPr>
        <w:autoSpaceDE w:val="0"/>
        <w:autoSpaceDN w:val="0"/>
        <w:adjustRightInd w:val="0"/>
        <w:rPr>
          <w:b/>
          <w:sz w:val="22"/>
          <w:szCs w:val="22"/>
          <w:lang w:val="en-GB"/>
        </w:rPr>
      </w:pPr>
    </w:p>
    <w:tbl>
      <w:tblPr>
        <w:tblW w:w="4934" w:type="pct"/>
        <w:tblLook w:val="0000" w:firstRow="0" w:lastRow="0" w:firstColumn="0" w:lastColumn="0" w:noHBand="0" w:noVBand="0"/>
      </w:tblPr>
      <w:tblGrid>
        <w:gridCol w:w="5785"/>
        <w:gridCol w:w="1525"/>
        <w:gridCol w:w="1659"/>
      </w:tblGrid>
      <w:tr w:rsidR="00010F3E" w:rsidRPr="00C66B91" w:rsidTr="00010F3E">
        <w:trPr>
          <w:cantSplit/>
          <w:trHeight w:val="274"/>
        </w:trPr>
        <w:tc>
          <w:tcPr>
            <w:tcW w:w="3225" w:type="pct"/>
            <w:vMerge w:val="restart"/>
            <w:tcBorders>
              <w:top w:val="nil"/>
              <w:left w:val="nil"/>
              <w:bottom w:val="nil"/>
              <w:right w:val="nil"/>
            </w:tcBorders>
          </w:tcPr>
          <w:p w:rsidR="00010F3E" w:rsidRPr="00C66B91" w:rsidRDefault="00010F3E" w:rsidP="00010F3E">
            <w:pPr>
              <w:rPr>
                <w:b/>
                <w:lang w:val="en-GB"/>
              </w:rPr>
            </w:pPr>
          </w:p>
        </w:tc>
        <w:tc>
          <w:tcPr>
            <w:tcW w:w="850" w:type="pct"/>
            <w:tcBorders>
              <w:top w:val="nil"/>
              <w:left w:val="nil"/>
              <w:bottom w:val="single" w:sz="4" w:space="0" w:color="auto"/>
              <w:right w:val="nil"/>
            </w:tcBorders>
          </w:tcPr>
          <w:p w:rsidR="00010F3E" w:rsidRPr="00C66B91" w:rsidRDefault="008A588E" w:rsidP="00010F3E">
            <w:pPr>
              <w:jc w:val="center"/>
              <w:rPr>
                <w:b/>
                <w:lang w:val="en-GB"/>
              </w:rPr>
            </w:pPr>
            <w:r w:rsidRPr="00C66B91">
              <w:rPr>
                <w:b/>
                <w:sz w:val="22"/>
                <w:szCs w:val="22"/>
                <w:lang w:val="en-GB"/>
              </w:rPr>
              <w:t>30.06</w:t>
            </w:r>
            <w:r w:rsidR="00010F3E" w:rsidRPr="00C66B91">
              <w:rPr>
                <w:b/>
                <w:sz w:val="22"/>
                <w:szCs w:val="22"/>
                <w:lang w:val="en-GB"/>
              </w:rPr>
              <w:t>.2015</w:t>
            </w:r>
          </w:p>
        </w:tc>
        <w:tc>
          <w:tcPr>
            <w:tcW w:w="925" w:type="pct"/>
            <w:tcBorders>
              <w:top w:val="nil"/>
              <w:left w:val="nil"/>
              <w:bottom w:val="single" w:sz="4" w:space="0" w:color="auto"/>
              <w:right w:val="nil"/>
            </w:tcBorders>
          </w:tcPr>
          <w:p w:rsidR="00010F3E" w:rsidRPr="00C66B91" w:rsidRDefault="00010F3E" w:rsidP="00010F3E">
            <w:pPr>
              <w:jc w:val="center"/>
              <w:rPr>
                <w:b/>
                <w:lang w:val="en-GB"/>
              </w:rPr>
            </w:pPr>
            <w:r w:rsidRPr="00C66B91">
              <w:rPr>
                <w:b/>
                <w:sz w:val="22"/>
                <w:szCs w:val="22"/>
                <w:lang w:val="en-GB"/>
              </w:rPr>
              <w:t>31.12.2014</w:t>
            </w:r>
          </w:p>
        </w:tc>
      </w:tr>
      <w:tr w:rsidR="00010F3E" w:rsidRPr="00C66B91" w:rsidTr="00010F3E">
        <w:trPr>
          <w:cantSplit/>
          <w:trHeight w:val="274"/>
        </w:trPr>
        <w:tc>
          <w:tcPr>
            <w:tcW w:w="3225" w:type="pct"/>
            <w:vMerge/>
            <w:tcBorders>
              <w:top w:val="nil"/>
              <w:left w:val="nil"/>
              <w:bottom w:val="nil"/>
              <w:right w:val="nil"/>
            </w:tcBorders>
            <w:vAlign w:val="center"/>
          </w:tcPr>
          <w:p w:rsidR="00010F3E" w:rsidRPr="00C66B91" w:rsidRDefault="00010F3E" w:rsidP="00010F3E">
            <w:pPr>
              <w:rPr>
                <w:b/>
                <w:lang w:val="en-GB"/>
              </w:rPr>
            </w:pPr>
          </w:p>
        </w:tc>
        <w:tc>
          <w:tcPr>
            <w:tcW w:w="850" w:type="pct"/>
            <w:tcBorders>
              <w:top w:val="single" w:sz="4" w:space="0" w:color="auto"/>
              <w:left w:val="nil"/>
              <w:bottom w:val="nil"/>
              <w:right w:val="nil"/>
            </w:tcBorders>
          </w:tcPr>
          <w:p w:rsidR="00010F3E" w:rsidRPr="00C66B91" w:rsidRDefault="00010F3E" w:rsidP="00010F3E">
            <w:pPr>
              <w:jc w:val="center"/>
              <w:rPr>
                <w:b/>
                <w:lang w:val="en-GB"/>
              </w:rPr>
            </w:pPr>
            <w:r w:rsidRPr="00C66B91">
              <w:rPr>
                <w:b/>
                <w:sz w:val="22"/>
                <w:szCs w:val="22"/>
                <w:lang w:val="en-GB"/>
              </w:rPr>
              <w:t>BGN’000</w:t>
            </w:r>
          </w:p>
        </w:tc>
        <w:tc>
          <w:tcPr>
            <w:tcW w:w="925" w:type="pct"/>
            <w:tcBorders>
              <w:top w:val="single" w:sz="4" w:space="0" w:color="auto"/>
              <w:left w:val="nil"/>
              <w:bottom w:val="nil"/>
              <w:right w:val="nil"/>
            </w:tcBorders>
          </w:tcPr>
          <w:p w:rsidR="00010F3E" w:rsidRPr="00C66B91" w:rsidRDefault="00010F3E" w:rsidP="00010F3E">
            <w:pPr>
              <w:jc w:val="center"/>
              <w:rPr>
                <w:b/>
                <w:lang w:val="en-GB"/>
              </w:rPr>
            </w:pPr>
            <w:r w:rsidRPr="00C66B91">
              <w:rPr>
                <w:b/>
                <w:sz w:val="22"/>
                <w:szCs w:val="22"/>
                <w:lang w:val="en-GB"/>
              </w:rPr>
              <w:t>BGN’000</w:t>
            </w:r>
          </w:p>
        </w:tc>
      </w:tr>
      <w:tr w:rsidR="00010F3E" w:rsidRPr="00C66B91" w:rsidTr="00010F3E">
        <w:trPr>
          <w:trHeight w:val="177"/>
        </w:trPr>
        <w:tc>
          <w:tcPr>
            <w:tcW w:w="3225" w:type="pct"/>
            <w:tcBorders>
              <w:top w:val="nil"/>
              <w:left w:val="nil"/>
              <w:bottom w:val="nil"/>
              <w:right w:val="nil"/>
            </w:tcBorders>
            <w:vAlign w:val="center"/>
          </w:tcPr>
          <w:p w:rsidR="00010F3E" w:rsidRPr="00C66B91" w:rsidRDefault="00010F3E" w:rsidP="00010F3E">
            <w:pPr>
              <w:rPr>
                <w:sz w:val="16"/>
                <w:szCs w:val="16"/>
                <w:lang w:val="en-GB"/>
              </w:rPr>
            </w:pPr>
          </w:p>
        </w:tc>
        <w:tc>
          <w:tcPr>
            <w:tcW w:w="850" w:type="pct"/>
            <w:tcBorders>
              <w:left w:val="nil"/>
              <w:right w:val="nil"/>
            </w:tcBorders>
            <w:tcMar>
              <w:right w:w="284" w:type="dxa"/>
            </w:tcMar>
            <w:vAlign w:val="center"/>
          </w:tcPr>
          <w:p w:rsidR="00010F3E" w:rsidRPr="00C66B91" w:rsidRDefault="00010F3E" w:rsidP="00010F3E">
            <w:pPr>
              <w:jc w:val="right"/>
              <w:rPr>
                <w:sz w:val="16"/>
                <w:szCs w:val="16"/>
                <w:lang w:val="en-GB"/>
              </w:rPr>
            </w:pPr>
          </w:p>
        </w:tc>
        <w:tc>
          <w:tcPr>
            <w:tcW w:w="925" w:type="pct"/>
            <w:tcBorders>
              <w:left w:val="nil"/>
              <w:right w:val="nil"/>
            </w:tcBorders>
            <w:vAlign w:val="center"/>
          </w:tcPr>
          <w:p w:rsidR="00010F3E" w:rsidRPr="00C66B91" w:rsidRDefault="00010F3E" w:rsidP="00010F3E">
            <w:pPr>
              <w:jc w:val="right"/>
              <w:rPr>
                <w:sz w:val="16"/>
                <w:szCs w:val="16"/>
                <w:lang w:val="en-GB"/>
              </w:rPr>
            </w:pPr>
          </w:p>
        </w:tc>
      </w:tr>
      <w:tr w:rsidR="00725BE4" w:rsidRPr="00C66B91" w:rsidTr="00010F3E">
        <w:trPr>
          <w:trHeight w:val="274"/>
        </w:trPr>
        <w:tc>
          <w:tcPr>
            <w:tcW w:w="3225" w:type="pct"/>
            <w:tcBorders>
              <w:top w:val="nil"/>
              <w:left w:val="nil"/>
              <w:bottom w:val="nil"/>
              <w:right w:val="nil"/>
            </w:tcBorders>
            <w:vAlign w:val="center"/>
          </w:tcPr>
          <w:p w:rsidR="00725BE4" w:rsidRPr="005E30E6" w:rsidRDefault="00725BE4" w:rsidP="00725BE4">
            <w:pPr>
              <w:rPr>
                <w:color w:val="000000"/>
                <w:sz w:val="22"/>
                <w:szCs w:val="22"/>
              </w:rPr>
            </w:pPr>
            <w:r w:rsidRPr="005E30E6">
              <w:rPr>
                <w:color w:val="000000"/>
                <w:sz w:val="22"/>
                <w:szCs w:val="22"/>
              </w:rPr>
              <w:t xml:space="preserve">Receivables from customers and suppliers – </w:t>
            </w:r>
            <w:r w:rsidRPr="005E30E6">
              <w:rPr>
                <w:sz w:val="22"/>
                <w:szCs w:val="22"/>
              </w:rPr>
              <w:t>gross amount</w:t>
            </w:r>
          </w:p>
        </w:tc>
        <w:tc>
          <w:tcPr>
            <w:tcW w:w="850" w:type="pct"/>
            <w:tcBorders>
              <w:left w:val="nil"/>
              <w:right w:val="nil"/>
            </w:tcBorders>
            <w:tcMar>
              <w:right w:w="284" w:type="dxa"/>
            </w:tcMar>
            <w:vAlign w:val="center"/>
          </w:tcPr>
          <w:p w:rsidR="00725BE4" w:rsidRPr="00C66B91" w:rsidRDefault="00725BE4" w:rsidP="00725BE4">
            <w:pPr>
              <w:jc w:val="right"/>
              <w:rPr>
                <w:color w:val="000000"/>
                <w:sz w:val="22"/>
                <w:szCs w:val="22"/>
                <w:lang w:val="en-GB"/>
              </w:rPr>
            </w:pPr>
            <w:r w:rsidRPr="00C66B91">
              <w:rPr>
                <w:color w:val="000000"/>
                <w:sz w:val="22"/>
                <w:szCs w:val="22"/>
                <w:lang w:val="en-GB"/>
              </w:rPr>
              <w:t>18,242</w:t>
            </w:r>
          </w:p>
        </w:tc>
        <w:tc>
          <w:tcPr>
            <w:tcW w:w="925" w:type="pct"/>
            <w:tcBorders>
              <w:left w:val="nil"/>
              <w:right w:val="nil"/>
            </w:tcBorders>
            <w:vAlign w:val="center"/>
          </w:tcPr>
          <w:p w:rsidR="00725BE4" w:rsidRPr="00C66B91" w:rsidRDefault="00725BE4" w:rsidP="00725BE4">
            <w:pPr>
              <w:jc w:val="right"/>
              <w:rPr>
                <w:color w:val="000000"/>
                <w:sz w:val="22"/>
                <w:szCs w:val="22"/>
                <w:lang w:val="en-GB"/>
              </w:rPr>
            </w:pPr>
            <w:r w:rsidRPr="00C66B91">
              <w:rPr>
                <w:color w:val="000000"/>
                <w:sz w:val="22"/>
                <w:szCs w:val="22"/>
                <w:lang w:val="en-GB"/>
              </w:rPr>
              <w:t>13,197</w:t>
            </w:r>
          </w:p>
        </w:tc>
      </w:tr>
      <w:tr w:rsidR="00725BE4" w:rsidRPr="00C66B91" w:rsidTr="00010F3E">
        <w:trPr>
          <w:trHeight w:val="274"/>
        </w:trPr>
        <w:tc>
          <w:tcPr>
            <w:tcW w:w="3225" w:type="pct"/>
            <w:tcBorders>
              <w:top w:val="nil"/>
              <w:left w:val="nil"/>
              <w:bottom w:val="nil"/>
              <w:right w:val="nil"/>
            </w:tcBorders>
            <w:vAlign w:val="center"/>
          </w:tcPr>
          <w:p w:rsidR="00725BE4" w:rsidRPr="005E30E6" w:rsidRDefault="00725BE4" w:rsidP="00725BE4">
            <w:pPr>
              <w:rPr>
                <w:color w:val="000000"/>
                <w:sz w:val="22"/>
                <w:szCs w:val="22"/>
              </w:rPr>
            </w:pPr>
            <w:r w:rsidRPr="005E30E6">
              <w:rPr>
                <w:sz w:val="22"/>
                <w:szCs w:val="22"/>
              </w:rPr>
              <w:t>Less impairment</w:t>
            </w:r>
          </w:p>
        </w:tc>
        <w:tc>
          <w:tcPr>
            <w:tcW w:w="850" w:type="pct"/>
            <w:tcBorders>
              <w:left w:val="nil"/>
              <w:bottom w:val="single" w:sz="2" w:space="0" w:color="auto"/>
              <w:right w:val="nil"/>
            </w:tcBorders>
            <w:tcMar>
              <w:right w:w="284" w:type="dxa"/>
            </w:tcMar>
            <w:vAlign w:val="center"/>
          </w:tcPr>
          <w:p w:rsidR="00725BE4" w:rsidRPr="00C66B91" w:rsidRDefault="00725BE4" w:rsidP="00725BE4">
            <w:pPr>
              <w:jc w:val="right"/>
              <w:rPr>
                <w:color w:val="000000"/>
                <w:sz w:val="22"/>
                <w:szCs w:val="22"/>
                <w:lang w:val="en-GB"/>
              </w:rPr>
            </w:pPr>
            <w:r w:rsidRPr="00C66B91">
              <w:rPr>
                <w:color w:val="000000"/>
                <w:sz w:val="22"/>
                <w:szCs w:val="22"/>
                <w:lang w:val="en-GB"/>
              </w:rPr>
              <w:t>(995)</w:t>
            </w:r>
          </w:p>
        </w:tc>
        <w:tc>
          <w:tcPr>
            <w:tcW w:w="925" w:type="pct"/>
            <w:tcBorders>
              <w:left w:val="nil"/>
              <w:bottom w:val="single" w:sz="2" w:space="0" w:color="auto"/>
              <w:right w:val="nil"/>
            </w:tcBorders>
            <w:vAlign w:val="center"/>
          </w:tcPr>
          <w:p w:rsidR="00725BE4" w:rsidRPr="00C66B91" w:rsidRDefault="00725BE4" w:rsidP="00725BE4">
            <w:pPr>
              <w:jc w:val="right"/>
              <w:rPr>
                <w:color w:val="000000"/>
                <w:sz w:val="22"/>
                <w:szCs w:val="22"/>
                <w:lang w:val="en-GB"/>
              </w:rPr>
            </w:pPr>
            <w:r w:rsidRPr="00C66B91">
              <w:rPr>
                <w:color w:val="000000"/>
                <w:sz w:val="22"/>
                <w:szCs w:val="22"/>
                <w:lang w:val="en-GB"/>
              </w:rPr>
              <w:t>(956)</w:t>
            </w:r>
          </w:p>
        </w:tc>
      </w:tr>
      <w:tr w:rsidR="00725BE4" w:rsidRPr="00C66B91" w:rsidTr="00010F3E">
        <w:trPr>
          <w:trHeight w:val="274"/>
        </w:trPr>
        <w:tc>
          <w:tcPr>
            <w:tcW w:w="3225" w:type="pct"/>
            <w:tcBorders>
              <w:top w:val="nil"/>
              <w:left w:val="nil"/>
              <w:bottom w:val="nil"/>
              <w:right w:val="nil"/>
            </w:tcBorders>
            <w:vAlign w:val="center"/>
          </w:tcPr>
          <w:p w:rsidR="00725BE4" w:rsidRPr="005E30E6" w:rsidRDefault="00725BE4" w:rsidP="00725BE4">
            <w:pPr>
              <w:rPr>
                <w:color w:val="000000"/>
                <w:sz w:val="22"/>
                <w:szCs w:val="22"/>
              </w:rPr>
            </w:pPr>
            <w:r w:rsidRPr="005E30E6">
              <w:rPr>
                <w:color w:val="000000"/>
                <w:sz w:val="22"/>
                <w:szCs w:val="22"/>
              </w:rPr>
              <w:t xml:space="preserve">Receivables from customers and suppliers – </w:t>
            </w:r>
            <w:r w:rsidRPr="005E30E6">
              <w:rPr>
                <w:sz w:val="22"/>
                <w:szCs w:val="22"/>
              </w:rPr>
              <w:t>net amount</w:t>
            </w:r>
          </w:p>
        </w:tc>
        <w:tc>
          <w:tcPr>
            <w:tcW w:w="850" w:type="pct"/>
            <w:tcBorders>
              <w:top w:val="single" w:sz="2" w:space="0" w:color="auto"/>
              <w:left w:val="nil"/>
              <w:right w:val="nil"/>
            </w:tcBorders>
            <w:tcMar>
              <w:right w:w="284" w:type="dxa"/>
            </w:tcMar>
            <w:vAlign w:val="center"/>
          </w:tcPr>
          <w:p w:rsidR="00725BE4" w:rsidRPr="00C66B91" w:rsidRDefault="00725BE4" w:rsidP="00725BE4">
            <w:pPr>
              <w:jc w:val="right"/>
              <w:rPr>
                <w:color w:val="000000"/>
                <w:sz w:val="22"/>
                <w:szCs w:val="22"/>
                <w:lang w:val="en-GB"/>
              </w:rPr>
            </w:pPr>
            <w:r w:rsidRPr="00C66B91">
              <w:rPr>
                <w:color w:val="000000"/>
                <w:sz w:val="22"/>
                <w:szCs w:val="22"/>
                <w:lang w:val="en-GB"/>
              </w:rPr>
              <w:t>17,247</w:t>
            </w:r>
          </w:p>
        </w:tc>
        <w:tc>
          <w:tcPr>
            <w:tcW w:w="925" w:type="pct"/>
            <w:tcBorders>
              <w:top w:val="single" w:sz="2" w:space="0" w:color="auto"/>
              <w:left w:val="nil"/>
              <w:right w:val="nil"/>
            </w:tcBorders>
            <w:vAlign w:val="center"/>
          </w:tcPr>
          <w:p w:rsidR="00725BE4" w:rsidRPr="00C66B91" w:rsidRDefault="00725BE4" w:rsidP="00725BE4">
            <w:pPr>
              <w:jc w:val="right"/>
              <w:rPr>
                <w:color w:val="000000"/>
                <w:sz w:val="22"/>
                <w:szCs w:val="22"/>
                <w:lang w:val="en-GB"/>
              </w:rPr>
            </w:pPr>
            <w:r w:rsidRPr="00C66B91">
              <w:rPr>
                <w:color w:val="000000"/>
                <w:sz w:val="22"/>
                <w:szCs w:val="22"/>
                <w:lang w:val="en-GB"/>
              </w:rPr>
              <w:t>12,241</w:t>
            </w:r>
          </w:p>
        </w:tc>
      </w:tr>
      <w:tr w:rsidR="00725BE4" w:rsidRPr="00C66B91" w:rsidTr="00010F3E">
        <w:trPr>
          <w:trHeight w:val="274"/>
        </w:trPr>
        <w:tc>
          <w:tcPr>
            <w:tcW w:w="3225" w:type="pct"/>
            <w:tcBorders>
              <w:top w:val="nil"/>
              <w:left w:val="nil"/>
              <w:bottom w:val="nil"/>
              <w:right w:val="nil"/>
            </w:tcBorders>
            <w:vAlign w:val="center"/>
          </w:tcPr>
          <w:p w:rsidR="00725BE4" w:rsidRPr="005E30E6" w:rsidRDefault="00725BE4" w:rsidP="00725BE4">
            <w:pPr>
              <w:rPr>
                <w:color w:val="000000"/>
                <w:sz w:val="22"/>
                <w:szCs w:val="22"/>
              </w:rPr>
            </w:pPr>
            <w:r w:rsidRPr="005E30E6">
              <w:rPr>
                <w:color w:val="000000"/>
                <w:sz w:val="22"/>
                <w:szCs w:val="22"/>
              </w:rPr>
              <w:t>Advance payments to suppliers</w:t>
            </w:r>
          </w:p>
        </w:tc>
        <w:tc>
          <w:tcPr>
            <w:tcW w:w="850" w:type="pct"/>
            <w:tcBorders>
              <w:left w:val="nil"/>
              <w:right w:val="nil"/>
            </w:tcBorders>
            <w:tcMar>
              <w:right w:w="284" w:type="dxa"/>
            </w:tcMar>
            <w:vAlign w:val="center"/>
          </w:tcPr>
          <w:p w:rsidR="00725BE4" w:rsidRPr="00C66B91" w:rsidRDefault="00725BE4" w:rsidP="00725BE4">
            <w:pPr>
              <w:jc w:val="right"/>
              <w:rPr>
                <w:color w:val="000000"/>
                <w:sz w:val="22"/>
                <w:szCs w:val="22"/>
                <w:lang w:val="en-GB"/>
              </w:rPr>
            </w:pPr>
            <w:r w:rsidRPr="00C66B91">
              <w:rPr>
                <w:color w:val="000000"/>
                <w:sz w:val="22"/>
                <w:szCs w:val="22"/>
                <w:lang w:val="en-GB"/>
              </w:rPr>
              <w:t>1,493</w:t>
            </w:r>
          </w:p>
        </w:tc>
        <w:tc>
          <w:tcPr>
            <w:tcW w:w="925" w:type="pct"/>
            <w:tcBorders>
              <w:left w:val="nil"/>
              <w:right w:val="nil"/>
            </w:tcBorders>
            <w:vAlign w:val="center"/>
          </w:tcPr>
          <w:p w:rsidR="00725BE4" w:rsidRPr="00C66B91" w:rsidRDefault="00725BE4" w:rsidP="00725BE4">
            <w:pPr>
              <w:jc w:val="right"/>
              <w:rPr>
                <w:color w:val="000000"/>
                <w:sz w:val="22"/>
                <w:szCs w:val="22"/>
                <w:lang w:val="en-GB"/>
              </w:rPr>
            </w:pPr>
            <w:r w:rsidRPr="00C66B91">
              <w:rPr>
                <w:color w:val="000000"/>
                <w:sz w:val="22"/>
                <w:szCs w:val="22"/>
                <w:lang w:val="en-GB"/>
              </w:rPr>
              <w:t>2,059</w:t>
            </w:r>
          </w:p>
        </w:tc>
      </w:tr>
      <w:tr w:rsidR="00725BE4" w:rsidRPr="00C66B91" w:rsidTr="00010F3E">
        <w:trPr>
          <w:trHeight w:val="274"/>
        </w:trPr>
        <w:tc>
          <w:tcPr>
            <w:tcW w:w="3225" w:type="pct"/>
            <w:tcBorders>
              <w:top w:val="nil"/>
              <w:left w:val="nil"/>
              <w:bottom w:val="nil"/>
              <w:right w:val="nil"/>
            </w:tcBorders>
            <w:vAlign w:val="center"/>
          </w:tcPr>
          <w:p w:rsidR="00725BE4" w:rsidRPr="005E30E6" w:rsidRDefault="00725BE4" w:rsidP="00725BE4">
            <w:pPr>
              <w:rPr>
                <w:color w:val="000000"/>
                <w:sz w:val="22"/>
                <w:szCs w:val="22"/>
              </w:rPr>
            </w:pPr>
            <w:r w:rsidRPr="005E30E6">
              <w:rPr>
                <w:sz w:val="22"/>
                <w:szCs w:val="22"/>
              </w:rPr>
              <w:t>Receivables from related parties /note 23/</w:t>
            </w:r>
          </w:p>
        </w:tc>
        <w:tc>
          <w:tcPr>
            <w:tcW w:w="850" w:type="pct"/>
            <w:tcBorders>
              <w:left w:val="nil"/>
              <w:right w:val="nil"/>
            </w:tcBorders>
            <w:tcMar>
              <w:right w:w="284" w:type="dxa"/>
            </w:tcMar>
            <w:vAlign w:val="center"/>
          </w:tcPr>
          <w:p w:rsidR="00725BE4" w:rsidRPr="00C66B91" w:rsidRDefault="00725BE4" w:rsidP="00725BE4">
            <w:pPr>
              <w:jc w:val="right"/>
              <w:rPr>
                <w:color w:val="000000"/>
                <w:sz w:val="22"/>
                <w:szCs w:val="22"/>
                <w:lang w:val="en-GB"/>
              </w:rPr>
            </w:pPr>
            <w:r w:rsidRPr="00C66B91">
              <w:rPr>
                <w:color w:val="000000"/>
                <w:sz w:val="22"/>
                <w:szCs w:val="22"/>
                <w:lang w:val="en-GB"/>
              </w:rPr>
              <w:t>4,145</w:t>
            </w:r>
          </w:p>
        </w:tc>
        <w:tc>
          <w:tcPr>
            <w:tcW w:w="925" w:type="pct"/>
            <w:tcBorders>
              <w:left w:val="nil"/>
              <w:right w:val="nil"/>
            </w:tcBorders>
            <w:vAlign w:val="center"/>
          </w:tcPr>
          <w:p w:rsidR="00725BE4" w:rsidRPr="00C66B91" w:rsidRDefault="00725BE4" w:rsidP="00725BE4">
            <w:pPr>
              <w:jc w:val="right"/>
              <w:rPr>
                <w:color w:val="000000"/>
                <w:sz w:val="22"/>
                <w:szCs w:val="22"/>
                <w:lang w:val="en-GB"/>
              </w:rPr>
            </w:pPr>
            <w:r w:rsidRPr="00C66B91">
              <w:rPr>
                <w:color w:val="000000"/>
                <w:sz w:val="22"/>
                <w:szCs w:val="22"/>
                <w:lang w:val="en-GB"/>
              </w:rPr>
              <w:t>6,098</w:t>
            </w:r>
          </w:p>
        </w:tc>
      </w:tr>
      <w:tr w:rsidR="00725BE4" w:rsidRPr="00C66B91" w:rsidTr="00010F3E">
        <w:trPr>
          <w:trHeight w:val="274"/>
        </w:trPr>
        <w:tc>
          <w:tcPr>
            <w:tcW w:w="3225" w:type="pct"/>
            <w:tcBorders>
              <w:top w:val="nil"/>
              <w:left w:val="nil"/>
              <w:bottom w:val="nil"/>
              <w:right w:val="nil"/>
            </w:tcBorders>
            <w:vAlign w:val="center"/>
          </w:tcPr>
          <w:p w:rsidR="00725BE4" w:rsidRPr="005E30E6" w:rsidRDefault="00725BE4" w:rsidP="00725BE4">
            <w:pPr>
              <w:rPr>
                <w:color w:val="000000"/>
                <w:sz w:val="22"/>
                <w:szCs w:val="22"/>
              </w:rPr>
            </w:pPr>
            <w:r>
              <w:rPr>
                <w:sz w:val="22"/>
                <w:szCs w:val="22"/>
              </w:rPr>
              <w:t>Tax receivables</w:t>
            </w:r>
          </w:p>
        </w:tc>
        <w:tc>
          <w:tcPr>
            <w:tcW w:w="850" w:type="pct"/>
            <w:tcBorders>
              <w:left w:val="nil"/>
              <w:right w:val="nil"/>
            </w:tcBorders>
            <w:tcMar>
              <w:right w:w="284" w:type="dxa"/>
            </w:tcMar>
            <w:vAlign w:val="center"/>
          </w:tcPr>
          <w:p w:rsidR="00725BE4" w:rsidRPr="00C66B91" w:rsidRDefault="00725BE4" w:rsidP="00725BE4">
            <w:pPr>
              <w:jc w:val="right"/>
              <w:rPr>
                <w:color w:val="000000"/>
                <w:sz w:val="22"/>
                <w:szCs w:val="22"/>
                <w:lang w:val="en-GB"/>
              </w:rPr>
            </w:pPr>
            <w:r w:rsidRPr="00C66B91">
              <w:rPr>
                <w:color w:val="000000"/>
                <w:sz w:val="22"/>
                <w:szCs w:val="22"/>
                <w:lang w:val="en-GB"/>
              </w:rPr>
              <w:t>420</w:t>
            </w:r>
          </w:p>
        </w:tc>
        <w:tc>
          <w:tcPr>
            <w:tcW w:w="925" w:type="pct"/>
            <w:tcBorders>
              <w:left w:val="nil"/>
              <w:right w:val="nil"/>
            </w:tcBorders>
            <w:vAlign w:val="center"/>
          </w:tcPr>
          <w:p w:rsidR="00725BE4" w:rsidRPr="00C66B91" w:rsidRDefault="00725BE4" w:rsidP="00725BE4">
            <w:pPr>
              <w:jc w:val="right"/>
              <w:rPr>
                <w:color w:val="000000"/>
                <w:sz w:val="22"/>
                <w:szCs w:val="22"/>
                <w:lang w:val="en-GB"/>
              </w:rPr>
            </w:pPr>
            <w:r w:rsidRPr="00C66B91">
              <w:rPr>
                <w:color w:val="000000"/>
                <w:sz w:val="22"/>
                <w:szCs w:val="22"/>
                <w:lang w:val="en-GB"/>
              </w:rPr>
              <w:t>348</w:t>
            </w:r>
          </w:p>
        </w:tc>
      </w:tr>
      <w:tr w:rsidR="00725BE4" w:rsidRPr="00C66B91" w:rsidTr="00010F3E">
        <w:trPr>
          <w:trHeight w:val="274"/>
        </w:trPr>
        <w:tc>
          <w:tcPr>
            <w:tcW w:w="3225" w:type="pct"/>
            <w:tcBorders>
              <w:top w:val="nil"/>
              <w:left w:val="nil"/>
              <w:bottom w:val="nil"/>
              <w:right w:val="nil"/>
            </w:tcBorders>
            <w:vAlign w:val="center"/>
          </w:tcPr>
          <w:p w:rsidR="00725BE4" w:rsidRPr="005E30E6" w:rsidRDefault="00725BE4" w:rsidP="00725BE4">
            <w:pPr>
              <w:rPr>
                <w:color w:val="000000"/>
                <w:sz w:val="22"/>
                <w:szCs w:val="22"/>
              </w:rPr>
            </w:pPr>
            <w:r w:rsidRPr="005E30E6">
              <w:rPr>
                <w:bCs/>
                <w:sz w:val="22"/>
                <w:szCs w:val="22"/>
              </w:rPr>
              <w:t>Other receivables</w:t>
            </w:r>
          </w:p>
        </w:tc>
        <w:tc>
          <w:tcPr>
            <w:tcW w:w="850" w:type="pct"/>
            <w:tcBorders>
              <w:left w:val="nil"/>
              <w:right w:val="nil"/>
            </w:tcBorders>
            <w:tcMar>
              <w:right w:w="284" w:type="dxa"/>
            </w:tcMar>
            <w:vAlign w:val="center"/>
          </w:tcPr>
          <w:p w:rsidR="00725BE4" w:rsidRPr="00C66B91" w:rsidRDefault="00725BE4" w:rsidP="00725BE4">
            <w:pPr>
              <w:jc w:val="right"/>
              <w:rPr>
                <w:color w:val="000000"/>
                <w:sz w:val="22"/>
                <w:szCs w:val="22"/>
                <w:lang w:val="en-GB"/>
              </w:rPr>
            </w:pPr>
            <w:r w:rsidRPr="00C66B91">
              <w:rPr>
                <w:color w:val="000000"/>
                <w:sz w:val="22"/>
                <w:szCs w:val="22"/>
                <w:lang w:val="en-GB"/>
              </w:rPr>
              <w:t>894</w:t>
            </w:r>
          </w:p>
        </w:tc>
        <w:tc>
          <w:tcPr>
            <w:tcW w:w="925" w:type="pct"/>
            <w:tcBorders>
              <w:left w:val="nil"/>
              <w:right w:val="nil"/>
            </w:tcBorders>
            <w:vAlign w:val="center"/>
          </w:tcPr>
          <w:p w:rsidR="00725BE4" w:rsidRPr="00C66B91" w:rsidRDefault="00725BE4" w:rsidP="00725BE4">
            <w:pPr>
              <w:jc w:val="right"/>
              <w:rPr>
                <w:color w:val="000000"/>
                <w:sz w:val="22"/>
                <w:szCs w:val="22"/>
                <w:lang w:val="en-GB"/>
              </w:rPr>
            </w:pPr>
            <w:r w:rsidRPr="00C66B91">
              <w:rPr>
                <w:color w:val="000000"/>
                <w:sz w:val="22"/>
                <w:szCs w:val="22"/>
                <w:lang w:val="en-GB"/>
              </w:rPr>
              <w:t>2,012</w:t>
            </w:r>
          </w:p>
        </w:tc>
      </w:tr>
      <w:tr w:rsidR="00725BE4" w:rsidRPr="00C66B91" w:rsidTr="00010F3E">
        <w:trPr>
          <w:trHeight w:val="274"/>
        </w:trPr>
        <w:tc>
          <w:tcPr>
            <w:tcW w:w="3225" w:type="pct"/>
            <w:tcBorders>
              <w:top w:val="nil"/>
              <w:left w:val="nil"/>
              <w:bottom w:val="nil"/>
              <w:right w:val="nil"/>
            </w:tcBorders>
            <w:vAlign w:val="center"/>
          </w:tcPr>
          <w:p w:rsidR="00725BE4" w:rsidRPr="005E30E6" w:rsidRDefault="00725BE4" w:rsidP="00725BE4">
            <w:pPr>
              <w:jc w:val="right"/>
              <w:rPr>
                <w:b/>
                <w:sz w:val="22"/>
                <w:szCs w:val="22"/>
              </w:rPr>
            </w:pPr>
            <w:r w:rsidRPr="005E30E6">
              <w:rPr>
                <w:b/>
                <w:sz w:val="22"/>
                <w:szCs w:val="22"/>
              </w:rPr>
              <w:lastRenderedPageBreak/>
              <w:t>Total</w:t>
            </w:r>
          </w:p>
        </w:tc>
        <w:tc>
          <w:tcPr>
            <w:tcW w:w="850" w:type="pct"/>
            <w:tcBorders>
              <w:top w:val="single" w:sz="4" w:space="0" w:color="auto"/>
              <w:left w:val="nil"/>
              <w:bottom w:val="double" w:sz="6" w:space="0" w:color="auto"/>
              <w:right w:val="nil"/>
            </w:tcBorders>
            <w:tcMar>
              <w:right w:w="284" w:type="dxa"/>
            </w:tcMar>
            <w:vAlign w:val="center"/>
          </w:tcPr>
          <w:p w:rsidR="00725BE4" w:rsidRPr="00C66B91" w:rsidRDefault="00725BE4" w:rsidP="00725BE4">
            <w:pPr>
              <w:jc w:val="right"/>
              <w:rPr>
                <w:b/>
                <w:color w:val="000000"/>
                <w:sz w:val="22"/>
                <w:szCs w:val="22"/>
                <w:lang w:val="en-GB"/>
              </w:rPr>
            </w:pPr>
            <w:r w:rsidRPr="00C66B91">
              <w:rPr>
                <w:b/>
                <w:color w:val="000000"/>
                <w:sz w:val="22"/>
                <w:szCs w:val="22"/>
                <w:lang w:val="en-GB"/>
              </w:rPr>
              <w:t>24,199</w:t>
            </w:r>
          </w:p>
        </w:tc>
        <w:tc>
          <w:tcPr>
            <w:tcW w:w="925" w:type="pct"/>
            <w:tcBorders>
              <w:top w:val="single" w:sz="4" w:space="0" w:color="auto"/>
              <w:left w:val="nil"/>
              <w:bottom w:val="double" w:sz="6" w:space="0" w:color="auto"/>
              <w:right w:val="nil"/>
            </w:tcBorders>
            <w:vAlign w:val="center"/>
          </w:tcPr>
          <w:p w:rsidR="00725BE4" w:rsidRPr="00C66B91" w:rsidRDefault="00725BE4" w:rsidP="00725BE4">
            <w:pPr>
              <w:jc w:val="right"/>
              <w:rPr>
                <w:b/>
                <w:color w:val="000000"/>
                <w:sz w:val="22"/>
                <w:szCs w:val="22"/>
                <w:lang w:val="en-GB"/>
              </w:rPr>
            </w:pPr>
            <w:r w:rsidRPr="00C66B91">
              <w:rPr>
                <w:b/>
                <w:color w:val="000000"/>
                <w:sz w:val="22"/>
                <w:szCs w:val="22"/>
                <w:lang w:val="en-GB"/>
              </w:rPr>
              <w:t>22,758</w:t>
            </w:r>
          </w:p>
        </w:tc>
      </w:tr>
    </w:tbl>
    <w:p w:rsidR="00E922D1" w:rsidRPr="00C66B91" w:rsidRDefault="00E922D1" w:rsidP="00E922D1">
      <w:pPr>
        <w:tabs>
          <w:tab w:val="num" w:pos="1080"/>
        </w:tabs>
        <w:autoSpaceDE w:val="0"/>
        <w:autoSpaceDN w:val="0"/>
        <w:adjustRightInd w:val="0"/>
        <w:rPr>
          <w:sz w:val="22"/>
          <w:szCs w:val="22"/>
          <w:lang w:val="en-GB"/>
        </w:rPr>
      </w:pPr>
    </w:p>
    <w:p w:rsidR="008664A9" w:rsidRPr="008664A9" w:rsidRDefault="008664A9" w:rsidP="008664A9">
      <w:pPr>
        <w:autoSpaceDE w:val="0"/>
        <w:autoSpaceDN w:val="0"/>
        <w:adjustRightInd w:val="0"/>
        <w:rPr>
          <w:color w:val="000000"/>
          <w:sz w:val="22"/>
          <w:szCs w:val="22"/>
          <w:lang w:val="en-GB"/>
        </w:rPr>
      </w:pPr>
      <w:r w:rsidRPr="008664A9">
        <w:rPr>
          <w:color w:val="000000"/>
          <w:sz w:val="22"/>
          <w:szCs w:val="22"/>
          <w:lang w:val="en-GB"/>
        </w:rPr>
        <w:t>The group of provided advance payments to suppliers to the amount of BGN 1,493 thousand includes the sum of BGN 1,493 thousand, representing costs for the acquisition of vehicles and equipment and fixed intangible assets.</w:t>
      </w:r>
    </w:p>
    <w:p w:rsidR="008664A9" w:rsidRPr="008664A9" w:rsidRDefault="008664A9" w:rsidP="008664A9">
      <w:pPr>
        <w:autoSpaceDE w:val="0"/>
        <w:autoSpaceDN w:val="0"/>
        <w:adjustRightInd w:val="0"/>
        <w:rPr>
          <w:color w:val="000000"/>
          <w:sz w:val="22"/>
          <w:szCs w:val="22"/>
          <w:lang w:val="en-GB"/>
        </w:rPr>
      </w:pPr>
    </w:p>
    <w:p w:rsidR="008664A9" w:rsidRPr="008664A9" w:rsidRDefault="008664A9" w:rsidP="008664A9">
      <w:pPr>
        <w:autoSpaceDE w:val="0"/>
        <w:autoSpaceDN w:val="0"/>
        <w:adjustRightInd w:val="0"/>
        <w:rPr>
          <w:color w:val="000000"/>
          <w:sz w:val="22"/>
          <w:szCs w:val="22"/>
          <w:lang w:val="en-GB"/>
        </w:rPr>
      </w:pPr>
      <w:r w:rsidRPr="008664A9">
        <w:rPr>
          <w:color w:val="000000"/>
          <w:sz w:val="22"/>
          <w:szCs w:val="22"/>
          <w:lang w:val="en-GB"/>
        </w:rPr>
        <w:t xml:space="preserve">The receivables from customers are interest-free. </w:t>
      </w:r>
    </w:p>
    <w:p w:rsidR="008664A9" w:rsidRPr="008664A9" w:rsidRDefault="008664A9" w:rsidP="008664A9">
      <w:pPr>
        <w:autoSpaceDE w:val="0"/>
        <w:autoSpaceDN w:val="0"/>
        <w:adjustRightInd w:val="0"/>
        <w:rPr>
          <w:color w:val="000000"/>
          <w:sz w:val="22"/>
          <w:szCs w:val="22"/>
          <w:lang w:val="en-GB"/>
        </w:rPr>
      </w:pPr>
    </w:p>
    <w:p w:rsidR="008664A9" w:rsidRPr="008664A9" w:rsidRDefault="008664A9" w:rsidP="008664A9">
      <w:pPr>
        <w:autoSpaceDE w:val="0"/>
        <w:autoSpaceDN w:val="0"/>
        <w:adjustRightInd w:val="0"/>
        <w:rPr>
          <w:color w:val="000000"/>
          <w:sz w:val="22"/>
          <w:szCs w:val="22"/>
          <w:lang w:val="en-GB"/>
        </w:rPr>
      </w:pPr>
      <w:r w:rsidRPr="008664A9">
        <w:rPr>
          <w:color w:val="000000"/>
          <w:sz w:val="22"/>
          <w:szCs w:val="22"/>
          <w:lang w:val="en-GB"/>
        </w:rPr>
        <w:t>Usually, the Group companies agree with the customers a certain term for sale-related payments within 60 days, unless there are specific maturity conditions for certain customers or in the cases, where new markets are being developed and new contracting parties are being attracted.</w:t>
      </w:r>
    </w:p>
    <w:p w:rsidR="008664A9" w:rsidRPr="008664A9" w:rsidRDefault="008664A9" w:rsidP="008664A9">
      <w:pPr>
        <w:autoSpaceDE w:val="0"/>
        <w:autoSpaceDN w:val="0"/>
        <w:adjustRightInd w:val="0"/>
        <w:rPr>
          <w:color w:val="000000"/>
          <w:sz w:val="22"/>
          <w:szCs w:val="22"/>
          <w:lang w:val="en-GB"/>
        </w:rPr>
      </w:pPr>
    </w:p>
    <w:p w:rsidR="008664A9" w:rsidRPr="008664A9" w:rsidRDefault="008664A9" w:rsidP="008664A9">
      <w:pPr>
        <w:autoSpaceDE w:val="0"/>
        <w:autoSpaceDN w:val="0"/>
        <w:adjustRightInd w:val="0"/>
        <w:rPr>
          <w:color w:val="000000"/>
          <w:sz w:val="22"/>
          <w:szCs w:val="22"/>
          <w:lang w:val="en-GB"/>
        </w:rPr>
      </w:pPr>
      <w:r w:rsidRPr="008664A9">
        <w:rPr>
          <w:color w:val="000000"/>
          <w:sz w:val="22"/>
          <w:szCs w:val="22"/>
          <w:lang w:val="en-GB"/>
        </w:rPr>
        <w:t>The Group has determined credit period, during which it does not accrue interests on the customers. The impairment indicator adopted by the Group is delay over one year. The managements of the Group companies judge the collectability by analyzing the exposure of the specific customer, the possibilities to repay (of the customer and through the security) and make a decision as to the amount, recognition and accrual of the relevant impairment.</w:t>
      </w:r>
    </w:p>
    <w:p w:rsidR="008664A9" w:rsidRPr="008664A9" w:rsidRDefault="008664A9" w:rsidP="008664A9">
      <w:pPr>
        <w:autoSpaceDE w:val="0"/>
        <w:autoSpaceDN w:val="0"/>
        <w:adjustRightInd w:val="0"/>
        <w:rPr>
          <w:color w:val="000000"/>
          <w:sz w:val="22"/>
          <w:szCs w:val="22"/>
          <w:lang w:val="en-GB"/>
        </w:rPr>
      </w:pPr>
    </w:p>
    <w:p w:rsidR="00E922D1" w:rsidRDefault="008664A9" w:rsidP="008664A9">
      <w:pPr>
        <w:autoSpaceDE w:val="0"/>
        <w:autoSpaceDN w:val="0"/>
        <w:adjustRightInd w:val="0"/>
        <w:rPr>
          <w:color w:val="000000"/>
          <w:sz w:val="22"/>
          <w:szCs w:val="22"/>
          <w:lang w:val="en-GB"/>
        </w:rPr>
      </w:pPr>
      <w:r w:rsidRPr="008664A9">
        <w:rPr>
          <w:color w:val="000000"/>
          <w:sz w:val="22"/>
          <w:szCs w:val="22"/>
          <w:lang w:val="en-GB"/>
        </w:rPr>
        <w:t>As at 30 June 2015, the net carrying amount of the trade receivables is assumed as the reasonable estimate of their fair value. All trade and other receivables of the Group are subject to a review for signs of impairment.</w:t>
      </w:r>
    </w:p>
    <w:p w:rsidR="008664A9" w:rsidRPr="00C66B91" w:rsidRDefault="008664A9" w:rsidP="008664A9">
      <w:pPr>
        <w:autoSpaceDE w:val="0"/>
        <w:autoSpaceDN w:val="0"/>
        <w:adjustRightInd w:val="0"/>
        <w:rPr>
          <w:sz w:val="22"/>
          <w:szCs w:val="22"/>
          <w:lang w:val="en-GB"/>
        </w:rPr>
      </w:pPr>
    </w:p>
    <w:p w:rsidR="008664A9" w:rsidRPr="008664A9" w:rsidRDefault="008664A9" w:rsidP="008664A9">
      <w:pPr>
        <w:autoSpaceDE w:val="0"/>
        <w:autoSpaceDN w:val="0"/>
        <w:adjustRightInd w:val="0"/>
        <w:rPr>
          <w:b/>
          <w:sz w:val="22"/>
          <w:szCs w:val="22"/>
          <w:lang w:val="en-GB"/>
        </w:rPr>
      </w:pPr>
      <w:r w:rsidRPr="008664A9">
        <w:rPr>
          <w:b/>
          <w:sz w:val="22"/>
          <w:szCs w:val="22"/>
          <w:lang w:val="en-GB"/>
        </w:rPr>
        <w:t>8. CASH AND CASH EQUIVALENTS</w:t>
      </w:r>
    </w:p>
    <w:p w:rsidR="008664A9" w:rsidRPr="008664A9" w:rsidRDefault="008664A9" w:rsidP="008664A9">
      <w:pPr>
        <w:autoSpaceDE w:val="0"/>
        <w:autoSpaceDN w:val="0"/>
        <w:adjustRightInd w:val="0"/>
        <w:rPr>
          <w:b/>
          <w:sz w:val="22"/>
          <w:szCs w:val="22"/>
          <w:lang w:val="en-GB"/>
        </w:rPr>
      </w:pPr>
    </w:p>
    <w:p w:rsidR="00E922D1" w:rsidRPr="008664A9" w:rsidRDefault="008664A9" w:rsidP="008664A9">
      <w:pPr>
        <w:autoSpaceDE w:val="0"/>
        <w:autoSpaceDN w:val="0"/>
        <w:adjustRightInd w:val="0"/>
        <w:rPr>
          <w:sz w:val="22"/>
          <w:szCs w:val="22"/>
          <w:lang w:val="en-GB"/>
        </w:rPr>
      </w:pPr>
      <w:r w:rsidRPr="008664A9">
        <w:rPr>
          <w:sz w:val="22"/>
          <w:szCs w:val="22"/>
          <w:lang w:val="en-GB"/>
        </w:rPr>
        <w:t>The cash and cash equivalents include the following elements:</w:t>
      </w:r>
    </w:p>
    <w:tbl>
      <w:tblPr>
        <w:tblW w:w="4933" w:type="pct"/>
        <w:tblLook w:val="0000" w:firstRow="0" w:lastRow="0" w:firstColumn="0" w:lastColumn="0" w:noHBand="0" w:noVBand="0"/>
      </w:tblPr>
      <w:tblGrid>
        <w:gridCol w:w="5781"/>
        <w:gridCol w:w="1524"/>
        <w:gridCol w:w="1662"/>
      </w:tblGrid>
      <w:tr w:rsidR="008C46AC" w:rsidRPr="00C66B91" w:rsidTr="00C46C22">
        <w:trPr>
          <w:trHeight w:val="265"/>
        </w:trPr>
        <w:tc>
          <w:tcPr>
            <w:tcW w:w="3223" w:type="pct"/>
            <w:tcBorders>
              <w:top w:val="nil"/>
              <w:left w:val="nil"/>
              <w:bottom w:val="nil"/>
              <w:right w:val="nil"/>
            </w:tcBorders>
            <w:vAlign w:val="bottom"/>
          </w:tcPr>
          <w:p w:rsidR="008C46AC" w:rsidRPr="00C66B91" w:rsidRDefault="008C46AC" w:rsidP="008C46AC">
            <w:pPr>
              <w:rPr>
                <w:lang w:val="en-GB"/>
              </w:rPr>
            </w:pPr>
          </w:p>
        </w:tc>
        <w:tc>
          <w:tcPr>
            <w:tcW w:w="850" w:type="pct"/>
            <w:tcBorders>
              <w:top w:val="nil"/>
              <w:left w:val="nil"/>
              <w:bottom w:val="single" w:sz="4" w:space="0" w:color="auto"/>
              <w:right w:val="nil"/>
            </w:tcBorders>
          </w:tcPr>
          <w:p w:rsidR="008C46AC" w:rsidRPr="00C66B91" w:rsidRDefault="008A588E" w:rsidP="008C46AC">
            <w:pPr>
              <w:jc w:val="center"/>
              <w:rPr>
                <w:b/>
                <w:lang w:val="en-GB"/>
              </w:rPr>
            </w:pPr>
            <w:r w:rsidRPr="00C66B91">
              <w:rPr>
                <w:b/>
                <w:sz w:val="22"/>
                <w:szCs w:val="22"/>
                <w:lang w:val="en-GB"/>
              </w:rPr>
              <w:t>30.06</w:t>
            </w:r>
            <w:r w:rsidR="008C46AC" w:rsidRPr="00C66B91">
              <w:rPr>
                <w:b/>
                <w:sz w:val="22"/>
                <w:szCs w:val="22"/>
                <w:lang w:val="en-GB"/>
              </w:rPr>
              <w:t>.2015</w:t>
            </w:r>
          </w:p>
        </w:tc>
        <w:tc>
          <w:tcPr>
            <w:tcW w:w="927" w:type="pct"/>
            <w:tcBorders>
              <w:top w:val="nil"/>
              <w:left w:val="nil"/>
              <w:bottom w:val="single" w:sz="4" w:space="0" w:color="auto"/>
              <w:right w:val="nil"/>
            </w:tcBorders>
          </w:tcPr>
          <w:p w:rsidR="008C46AC" w:rsidRPr="00C66B91" w:rsidRDefault="008C46AC" w:rsidP="008C46AC">
            <w:pPr>
              <w:jc w:val="center"/>
              <w:rPr>
                <w:b/>
                <w:lang w:val="en-GB"/>
              </w:rPr>
            </w:pPr>
            <w:r w:rsidRPr="00C66B91">
              <w:rPr>
                <w:b/>
                <w:sz w:val="22"/>
                <w:szCs w:val="22"/>
                <w:lang w:val="en-GB"/>
              </w:rPr>
              <w:t>31.12.2014</w:t>
            </w:r>
          </w:p>
        </w:tc>
      </w:tr>
      <w:tr w:rsidR="008C46AC" w:rsidRPr="00C66B91" w:rsidTr="00C46C22">
        <w:trPr>
          <w:trHeight w:val="265"/>
        </w:trPr>
        <w:tc>
          <w:tcPr>
            <w:tcW w:w="3223" w:type="pct"/>
            <w:tcBorders>
              <w:top w:val="nil"/>
              <w:left w:val="nil"/>
              <w:bottom w:val="nil"/>
              <w:right w:val="nil"/>
            </w:tcBorders>
            <w:vAlign w:val="bottom"/>
          </w:tcPr>
          <w:p w:rsidR="008C46AC" w:rsidRPr="00C66B91" w:rsidRDefault="008C46AC" w:rsidP="008C46AC">
            <w:pPr>
              <w:rPr>
                <w:lang w:val="en-GB"/>
              </w:rPr>
            </w:pPr>
          </w:p>
        </w:tc>
        <w:tc>
          <w:tcPr>
            <w:tcW w:w="850" w:type="pct"/>
            <w:tcBorders>
              <w:top w:val="nil"/>
              <w:left w:val="nil"/>
              <w:bottom w:val="nil"/>
              <w:right w:val="nil"/>
            </w:tcBorders>
          </w:tcPr>
          <w:p w:rsidR="008C46AC" w:rsidRPr="00C66B91" w:rsidRDefault="008C46AC" w:rsidP="008C46AC">
            <w:pPr>
              <w:jc w:val="center"/>
              <w:rPr>
                <w:b/>
                <w:lang w:val="en-GB"/>
              </w:rPr>
            </w:pPr>
            <w:r w:rsidRPr="00C66B91">
              <w:rPr>
                <w:b/>
                <w:sz w:val="22"/>
                <w:szCs w:val="22"/>
                <w:lang w:val="en-GB"/>
              </w:rPr>
              <w:t>BGN’000</w:t>
            </w:r>
          </w:p>
        </w:tc>
        <w:tc>
          <w:tcPr>
            <w:tcW w:w="927" w:type="pct"/>
            <w:tcBorders>
              <w:top w:val="nil"/>
              <w:left w:val="nil"/>
              <w:bottom w:val="nil"/>
              <w:right w:val="nil"/>
            </w:tcBorders>
          </w:tcPr>
          <w:p w:rsidR="008C46AC" w:rsidRPr="00C66B91" w:rsidRDefault="008C46AC" w:rsidP="008C46AC">
            <w:pPr>
              <w:jc w:val="center"/>
              <w:rPr>
                <w:b/>
                <w:lang w:val="en-GB"/>
              </w:rPr>
            </w:pPr>
            <w:r w:rsidRPr="00C66B91">
              <w:rPr>
                <w:b/>
                <w:sz w:val="22"/>
                <w:szCs w:val="22"/>
                <w:lang w:val="en-GB"/>
              </w:rPr>
              <w:t>BGN’000</w:t>
            </w:r>
          </w:p>
        </w:tc>
      </w:tr>
      <w:tr w:rsidR="008C46AC" w:rsidRPr="00C66B91" w:rsidTr="00C46C22">
        <w:trPr>
          <w:trHeight w:val="118"/>
        </w:trPr>
        <w:tc>
          <w:tcPr>
            <w:tcW w:w="3223" w:type="pct"/>
            <w:tcBorders>
              <w:top w:val="nil"/>
              <w:left w:val="nil"/>
              <w:bottom w:val="nil"/>
              <w:right w:val="nil"/>
            </w:tcBorders>
            <w:vAlign w:val="center"/>
          </w:tcPr>
          <w:p w:rsidR="008C46AC" w:rsidRPr="00C66B91" w:rsidRDefault="008C46AC" w:rsidP="008C46AC">
            <w:pPr>
              <w:rPr>
                <w:sz w:val="16"/>
                <w:szCs w:val="16"/>
                <w:lang w:val="en-GB"/>
              </w:rPr>
            </w:pPr>
          </w:p>
        </w:tc>
        <w:tc>
          <w:tcPr>
            <w:tcW w:w="850" w:type="pct"/>
            <w:tcBorders>
              <w:top w:val="nil"/>
              <w:left w:val="nil"/>
              <w:right w:val="nil"/>
            </w:tcBorders>
            <w:tcMar>
              <w:right w:w="284" w:type="dxa"/>
            </w:tcMar>
            <w:vAlign w:val="center"/>
          </w:tcPr>
          <w:p w:rsidR="008C46AC" w:rsidRPr="00C66B91" w:rsidRDefault="008C46AC" w:rsidP="008C46AC">
            <w:pPr>
              <w:jc w:val="right"/>
              <w:rPr>
                <w:sz w:val="16"/>
                <w:szCs w:val="16"/>
                <w:lang w:val="en-GB"/>
              </w:rPr>
            </w:pPr>
          </w:p>
        </w:tc>
        <w:tc>
          <w:tcPr>
            <w:tcW w:w="927" w:type="pct"/>
            <w:tcBorders>
              <w:top w:val="nil"/>
              <w:left w:val="nil"/>
              <w:right w:val="nil"/>
            </w:tcBorders>
            <w:tcMar>
              <w:right w:w="284" w:type="dxa"/>
            </w:tcMar>
            <w:vAlign w:val="center"/>
          </w:tcPr>
          <w:p w:rsidR="008C46AC" w:rsidRPr="00C66B91" w:rsidRDefault="008C46AC" w:rsidP="008C46AC">
            <w:pPr>
              <w:jc w:val="right"/>
              <w:rPr>
                <w:sz w:val="16"/>
                <w:szCs w:val="16"/>
                <w:lang w:val="en-GB"/>
              </w:rPr>
            </w:pPr>
          </w:p>
        </w:tc>
      </w:tr>
      <w:tr w:rsidR="008664A9" w:rsidRPr="00C66B91" w:rsidTr="00C46C22">
        <w:trPr>
          <w:trHeight w:val="265"/>
        </w:trPr>
        <w:tc>
          <w:tcPr>
            <w:tcW w:w="3223" w:type="pct"/>
            <w:tcBorders>
              <w:top w:val="nil"/>
              <w:left w:val="nil"/>
              <w:bottom w:val="nil"/>
              <w:right w:val="nil"/>
            </w:tcBorders>
            <w:vAlign w:val="center"/>
          </w:tcPr>
          <w:p w:rsidR="008664A9" w:rsidRPr="005E30E6" w:rsidRDefault="008664A9" w:rsidP="008664A9">
            <w:r w:rsidRPr="005E30E6">
              <w:rPr>
                <w:sz w:val="22"/>
                <w:szCs w:val="22"/>
              </w:rPr>
              <w:t>Cash at hand</w:t>
            </w:r>
          </w:p>
        </w:tc>
        <w:tc>
          <w:tcPr>
            <w:tcW w:w="850" w:type="pct"/>
            <w:tcBorders>
              <w:top w:val="nil"/>
              <w:left w:val="nil"/>
              <w:bottom w:val="single" w:sz="4" w:space="0" w:color="auto"/>
              <w:right w:val="nil"/>
            </w:tcBorders>
            <w:tcMar>
              <w:right w:w="284" w:type="dxa"/>
            </w:tcMar>
            <w:vAlign w:val="center"/>
          </w:tcPr>
          <w:p w:rsidR="008664A9" w:rsidRPr="00C66B91" w:rsidRDefault="008664A9" w:rsidP="008664A9">
            <w:pPr>
              <w:jc w:val="right"/>
              <w:rPr>
                <w:color w:val="000000"/>
                <w:sz w:val="22"/>
                <w:szCs w:val="22"/>
                <w:lang w:val="en-GB" w:eastAsia="bg-BG"/>
              </w:rPr>
            </w:pPr>
            <w:r w:rsidRPr="00C66B91">
              <w:rPr>
                <w:color w:val="000000"/>
                <w:sz w:val="22"/>
                <w:szCs w:val="22"/>
                <w:lang w:val="en-GB" w:eastAsia="bg-BG"/>
              </w:rPr>
              <w:t>214</w:t>
            </w:r>
          </w:p>
        </w:tc>
        <w:tc>
          <w:tcPr>
            <w:tcW w:w="927" w:type="pct"/>
            <w:tcBorders>
              <w:top w:val="nil"/>
              <w:left w:val="nil"/>
              <w:bottom w:val="single" w:sz="4" w:space="0" w:color="auto"/>
              <w:right w:val="nil"/>
            </w:tcBorders>
            <w:tcMar>
              <w:right w:w="284" w:type="dxa"/>
            </w:tcMar>
            <w:vAlign w:val="center"/>
          </w:tcPr>
          <w:p w:rsidR="008664A9" w:rsidRPr="00C66B91" w:rsidRDefault="008664A9" w:rsidP="008664A9">
            <w:pPr>
              <w:jc w:val="right"/>
              <w:rPr>
                <w:color w:val="000000"/>
                <w:sz w:val="22"/>
                <w:szCs w:val="22"/>
                <w:lang w:val="en-GB" w:eastAsia="bg-BG"/>
              </w:rPr>
            </w:pPr>
            <w:r w:rsidRPr="00C66B91">
              <w:rPr>
                <w:color w:val="000000"/>
                <w:sz w:val="22"/>
                <w:szCs w:val="22"/>
                <w:lang w:val="en-GB" w:eastAsia="bg-BG"/>
              </w:rPr>
              <w:t>283</w:t>
            </w:r>
          </w:p>
        </w:tc>
      </w:tr>
      <w:tr w:rsidR="008664A9" w:rsidRPr="00C66B91" w:rsidTr="00C46C22">
        <w:trPr>
          <w:trHeight w:val="265"/>
        </w:trPr>
        <w:tc>
          <w:tcPr>
            <w:tcW w:w="3223" w:type="pct"/>
            <w:tcBorders>
              <w:top w:val="nil"/>
              <w:left w:val="nil"/>
              <w:bottom w:val="nil"/>
              <w:right w:val="nil"/>
            </w:tcBorders>
            <w:vAlign w:val="center"/>
          </w:tcPr>
          <w:p w:rsidR="008664A9" w:rsidRPr="005E30E6" w:rsidRDefault="008664A9" w:rsidP="008664A9">
            <w:r w:rsidRPr="005E30E6">
              <w:rPr>
                <w:sz w:val="22"/>
                <w:szCs w:val="22"/>
              </w:rPr>
              <w:t>- in BGN</w:t>
            </w:r>
          </w:p>
        </w:tc>
        <w:tc>
          <w:tcPr>
            <w:tcW w:w="850" w:type="pct"/>
            <w:tcBorders>
              <w:top w:val="nil"/>
              <w:left w:val="nil"/>
              <w:bottom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209</w:t>
            </w:r>
          </w:p>
        </w:tc>
        <w:tc>
          <w:tcPr>
            <w:tcW w:w="927" w:type="pct"/>
            <w:tcBorders>
              <w:top w:val="nil"/>
              <w:left w:val="nil"/>
              <w:bottom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280</w:t>
            </w:r>
          </w:p>
        </w:tc>
      </w:tr>
      <w:tr w:rsidR="008664A9" w:rsidRPr="00C66B91" w:rsidTr="00C46C22">
        <w:trPr>
          <w:trHeight w:val="265"/>
        </w:trPr>
        <w:tc>
          <w:tcPr>
            <w:tcW w:w="3223" w:type="pct"/>
            <w:tcBorders>
              <w:top w:val="nil"/>
              <w:left w:val="nil"/>
              <w:bottom w:val="nil"/>
              <w:right w:val="nil"/>
            </w:tcBorders>
            <w:vAlign w:val="center"/>
          </w:tcPr>
          <w:p w:rsidR="008664A9" w:rsidRPr="005E30E6" w:rsidRDefault="008664A9" w:rsidP="008664A9">
            <w:pPr>
              <w:rPr>
                <w:sz w:val="22"/>
                <w:szCs w:val="22"/>
              </w:rPr>
            </w:pPr>
            <w:r w:rsidRPr="005E30E6">
              <w:rPr>
                <w:sz w:val="22"/>
                <w:szCs w:val="22"/>
              </w:rPr>
              <w:t>- in RON</w:t>
            </w:r>
          </w:p>
        </w:tc>
        <w:tc>
          <w:tcPr>
            <w:tcW w:w="850" w:type="pct"/>
            <w:tcBorders>
              <w:top w:val="nil"/>
              <w:left w:val="nil"/>
              <w:bottom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5</w:t>
            </w:r>
          </w:p>
        </w:tc>
        <w:tc>
          <w:tcPr>
            <w:tcW w:w="927" w:type="pct"/>
            <w:tcBorders>
              <w:top w:val="nil"/>
              <w:left w:val="nil"/>
              <w:bottom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3</w:t>
            </w:r>
          </w:p>
        </w:tc>
      </w:tr>
      <w:tr w:rsidR="008664A9" w:rsidRPr="00C66B91" w:rsidTr="00C46C22">
        <w:trPr>
          <w:trHeight w:val="265"/>
        </w:trPr>
        <w:tc>
          <w:tcPr>
            <w:tcW w:w="3223" w:type="pct"/>
            <w:tcBorders>
              <w:top w:val="nil"/>
              <w:left w:val="nil"/>
              <w:bottom w:val="nil"/>
              <w:right w:val="nil"/>
            </w:tcBorders>
            <w:vAlign w:val="center"/>
          </w:tcPr>
          <w:p w:rsidR="008664A9" w:rsidRPr="005E30E6" w:rsidRDefault="008664A9" w:rsidP="008664A9"/>
        </w:tc>
        <w:tc>
          <w:tcPr>
            <w:tcW w:w="850" w:type="pct"/>
            <w:tcBorders>
              <w:top w:val="nil"/>
              <w:left w:val="nil"/>
              <w:bottom w:val="nil"/>
              <w:right w:val="nil"/>
            </w:tcBorders>
            <w:tcMar>
              <w:right w:w="284" w:type="dxa"/>
            </w:tcMar>
            <w:vAlign w:val="center"/>
          </w:tcPr>
          <w:p w:rsidR="008664A9" w:rsidRPr="00C66B91" w:rsidRDefault="008664A9" w:rsidP="008664A9">
            <w:pPr>
              <w:jc w:val="right"/>
              <w:rPr>
                <w:color w:val="000000"/>
                <w:sz w:val="22"/>
                <w:szCs w:val="22"/>
                <w:lang w:val="en-GB"/>
              </w:rPr>
            </w:pPr>
          </w:p>
        </w:tc>
        <w:tc>
          <w:tcPr>
            <w:tcW w:w="927" w:type="pct"/>
            <w:tcBorders>
              <w:top w:val="nil"/>
              <w:left w:val="nil"/>
              <w:bottom w:val="nil"/>
              <w:right w:val="nil"/>
            </w:tcBorders>
            <w:tcMar>
              <w:right w:w="284" w:type="dxa"/>
            </w:tcMar>
            <w:vAlign w:val="center"/>
          </w:tcPr>
          <w:p w:rsidR="008664A9" w:rsidRPr="00C66B91" w:rsidRDefault="008664A9" w:rsidP="008664A9">
            <w:pPr>
              <w:jc w:val="right"/>
              <w:rPr>
                <w:color w:val="000000"/>
                <w:sz w:val="22"/>
                <w:szCs w:val="22"/>
                <w:lang w:val="en-GB"/>
              </w:rPr>
            </w:pPr>
          </w:p>
        </w:tc>
      </w:tr>
      <w:tr w:rsidR="008664A9" w:rsidRPr="00C66B91" w:rsidTr="00C46C22">
        <w:trPr>
          <w:trHeight w:val="265"/>
        </w:trPr>
        <w:tc>
          <w:tcPr>
            <w:tcW w:w="3223" w:type="pct"/>
            <w:tcBorders>
              <w:top w:val="nil"/>
              <w:left w:val="nil"/>
              <w:bottom w:val="nil"/>
              <w:right w:val="nil"/>
            </w:tcBorders>
            <w:vAlign w:val="center"/>
          </w:tcPr>
          <w:p w:rsidR="008664A9" w:rsidRPr="005E30E6" w:rsidRDefault="008664A9" w:rsidP="008664A9">
            <w:r w:rsidRPr="005E30E6">
              <w:rPr>
                <w:sz w:val="22"/>
                <w:szCs w:val="22"/>
              </w:rPr>
              <w:t>Cash on bank accounts</w:t>
            </w:r>
          </w:p>
        </w:tc>
        <w:tc>
          <w:tcPr>
            <w:tcW w:w="850" w:type="pct"/>
            <w:tcBorders>
              <w:top w:val="nil"/>
              <w:left w:val="nil"/>
              <w:bottom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5,677</w:t>
            </w:r>
          </w:p>
        </w:tc>
        <w:tc>
          <w:tcPr>
            <w:tcW w:w="927" w:type="pct"/>
            <w:tcBorders>
              <w:top w:val="nil"/>
              <w:left w:val="nil"/>
              <w:bottom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7,523</w:t>
            </w:r>
          </w:p>
        </w:tc>
      </w:tr>
      <w:tr w:rsidR="008664A9" w:rsidRPr="00C66B91" w:rsidTr="00C46C22">
        <w:trPr>
          <w:trHeight w:val="265"/>
        </w:trPr>
        <w:tc>
          <w:tcPr>
            <w:tcW w:w="3223" w:type="pct"/>
            <w:tcBorders>
              <w:top w:val="nil"/>
              <w:left w:val="nil"/>
              <w:bottom w:val="nil"/>
              <w:right w:val="nil"/>
            </w:tcBorders>
            <w:vAlign w:val="center"/>
          </w:tcPr>
          <w:p w:rsidR="008664A9" w:rsidRPr="005E30E6" w:rsidRDefault="008664A9" w:rsidP="008664A9">
            <w:r w:rsidRPr="005E30E6">
              <w:rPr>
                <w:sz w:val="22"/>
                <w:szCs w:val="22"/>
              </w:rPr>
              <w:t>- in BGN</w:t>
            </w:r>
          </w:p>
        </w:tc>
        <w:tc>
          <w:tcPr>
            <w:tcW w:w="850" w:type="pct"/>
            <w:tcBorders>
              <w:top w:val="single" w:sz="4" w:space="0" w:color="auto"/>
              <w:left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3,949</w:t>
            </w:r>
          </w:p>
        </w:tc>
        <w:tc>
          <w:tcPr>
            <w:tcW w:w="927" w:type="pct"/>
            <w:tcBorders>
              <w:top w:val="single" w:sz="4" w:space="0" w:color="auto"/>
              <w:left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4,598</w:t>
            </w:r>
          </w:p>
        </w:tc>
      </w:tr>
      <w:tr w:rsidR="008664A9" w:rsidRPr="00C66B91" w:rsidTr="00C46C22">
        <w:trPr>
          <w:trHeight w:val="265"/>
        </w:trPr>
        <w:tc>
          <w:tcPr>
            <w:tcW w:w="3223" w:type="pct"/>
            <w:tcBorders>
              <w:top w:val="nil"/>
              <w:left w:val="nil"/>
              <w:bottom w:val="nil"/>
              <w:right w:val="nil"/>
            </w:tcBorders>
            <w:vAlign w:val="center"/>
          </w:tcPr>
          <w:p w:rsidR="008664A9" w:rsidRPr="005E30E6" w:rsidRDefault="008664A9" w:rsidP="008664A9">
            <w:pPr>
              <w:rPr>
                <w:sz w:val="22"/>
                <w:szCs w:val="22"/>
              </w:rPr>
            </w:pPr>
            <w:r w:rsidRPr="005E30E6">
              <w:rPr>
                <w:sz w:val="22"/>
                <w:szCs w:val="22"/>
              </w:rPr>
              <w:t>- in EUR</w:t>
            </w:r>
          </w:p>
        </w:tc>
        <w:tc>
          <w:tcPr>
            <w:tcW w:w="850" w:type="pct"/>
            <w:tcBorders>
              <w:left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w:t>
            </w:r>
          </w:p>
        </w:tc>
        <w:tc>
          <w:tcPr>
            <w:tcW w:w="927" w:type="pct"/>
            <w:tcBorders>
              <w:left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1,433</w:t>
            </w:r>
          </w:p>
        </w:tc>
      </w:tr>
      <w:tr w:rsidR="008664A9" w:rsidRPr="00C66B91" w:rsidTr="00C46C22">
        <w:trPr>
          <w:trHeight w:val="85"/>
        </w:trPr>
        <w:tc>
          <w:tcPr>
            <w:tcW w:w="3223" w:type="pct"/>
            <w:tcBorders>
              <w:top w:val="nil"/>
              <w:left w:val="nil"/>
              <w:bottom w:val="nil"/>
              <w:right w:val="nil"/>
            </w:tcBorders>
            <w:vAlign w:val="center"/>
          </w:tcPr>
          <w:p w:rsidR="008664A9" w:rsidRPr="005E30E6" w:rsidRDefault="008664A9" w:rsidP="008664A9">
            <w:pPr>
              <w:rPr>
                <w:sz w:val="22"/>
                <w:szCs w:val="22"/>
              </w:rPr>
            </w:pPr>
            <w:r w:rsidRPr="005E30E6">
              <w:rPr>
                <w:sz w:val="22"/>
                <w:szCs w:val="22"/>
              </w:rPr>
              <w:t>- in RON</w:t>
            </w:r>
          </w:p>
        </w:tc>
        <w:tc>
          <w:tcPr>
            <w:tcW w:w="850" w:type="pct"/>
            <w:tcBorders>
              <w:left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1,519</w:t>
            </w:r>
          </w:p>
        </w:tc>
        <w:tc>
          <w:tcPr>
            <w:tcW w:w="927" w:type="pct"/>
            <w:tcBorders>
              <w:left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1,492</w:t>
            </w:r>
          </w:p>
        </w:tc>
      </w:tr>
      <w:tr w:rsidR="008664A9" w:rsidRPr="00C66B91" w:rsidTr="00C46C22">
        <w:trPr>
          <w:trHeight w:val="265"/>
        </w:trPr>
        <w:tc>
          <w:tcPr>
            <w:tcW w:w="3223" w:type="pct"/>
            <w:tcBorders>
              <w:top w:val="nil"/>
              <w:left w:val="nil"/>
              <w:bottom w:val="nil"/>
              <w:right w:val="nil"/>
            </w:tcBorders>
            <w:vAlign w:val="center"/>
          </w:tcPr>
          <w:p w:rsidR="008664A9" w:rsidRPr="005E30E6" w:rsidRDefault="008664A9" w:rsidP="008664A9">
            <w:pPr>
              <w:rPr>
                <w:sz w:val="22"/>
                <w:szCs w:val="22"/>
              </w:rPr>
            </w:pPr>
          </w:p>
        </w:tc>
        <w:tc>
          <w:tcPr>
            <w:tcW w:w="850" w:type="pct"/>
            <w:tcBorders>
              <w:top w:val="nil"/>
              <w:left w:val="nil"/>
              <w:bottom w:val="nil"/>
              <w:right w:val="nil"/>
            </w:tcBorders>
            <w:tcMar>
              <w:right w:w="284" w:type="dxa"/>
            </w:tcMar>
            <w:vAlign w:val="center"/>
          </w:tcPr>
          <w:p w:rsidR="008664A9" w:rsidRPr="00C66B91" w:rsidRDefault="008664A9" w:rsidP="008664A9">
            <w:pPr>
              <w:jc w:val="right"/>
              <w:rPr>
                <w:color w:val="000000"/>
                <w:sz w:val="22"/>
                <w:szCs w:val="22"/>
                <w:lang w:val="en-GB"/>
              </w:rPr>
            </w:pPr>
          </w:p>
        </w:tc>
        <w:tc>
          <w:tcPr>
            <w:tcW w:w="927" w:type="pct"/>
            <w:tcBorders>
              <w:top w:val="nil"/>
              <w:left w:val="nil"/>
              <w:bottom w:val="nil"/>
              <w:right w:val="nil"/>
            </w:tcBorders>
            <w:tcMar>
              <w:right w:w="284" w:type="dxa"/>
            </w:tcMar>
            <w:vAlign w:val="center"/>
          </w:tcPr>
          <w:p w:rsidR="008664A9" w:rsidRPr="00C66B91" w:rsidRDefault="008664A9" w:rsidP="008664A9">
            <w:pPr>
              <w:jc w:val="right"/>
              <w:rPr>
                <w:sz w:val="22"/>
                <w:szCs w:val="22"/>
                <w:lang w:val="en-GB"/>
              </w:rPr>
            </w:pPr>
          </w:p>
        </w:tc>
      </w:tr>
      <w:tr w:rsidR="008664A9" w:rsidRPr="00C66B91" w:rsidTr="00C46C22">
        <w:trPr>
          <w:trHeight w:val="265"/>
        </w:trPr>
        <w:tc>
          <w:tcPr>
            <w:tcW w:w="3223" w:type="pct"/>
            <w:tcBorders>
              <w:top w:val="nil"/>
              <w:left w:val="nil"/>
              <w:bottom w:val="nil"/>
              <w:right w:val="nil"/>
            </w:tcBorders>
            <w:vAlign w:val="center"/>
          </w:tcPr>
          <w:p w:rsidR="008664A9" w:rsidRPr="005E30E6" w:rsidRDefault="008664A9" w:rsidP="008664A9">
            <w:r w:rsidRPr="005E30E6">
              <w:rPr>
                <w:color w:val="241E1C"/>
                <w:sz w:val="22"/>
                <w:szCs w:val="22"/>
              </w:rPr>
              <w:t>Cash in transit</w:t>
            </w:r>
          </w:p>
        </w:tc>
        <w:tc>
          <w:tcPr>
            <w:tcW w:w="850" w:type="pct"/>
            <w:tcBorders>
              <w:top w:val="nil"/>
              <w:left w:val="nil"/>
              <w:bottom w:val="nil"/>
              <w:right w:val="nil"/>
            </w:tcBorders>
            <w:tcMar>
              <w:right w:w="284" w:type="dxa"/>
            </w:tcMar>
            <w:vAlign w:val="center"/>
          </w:tcPr>
          <w:p w:rsidR="008664A9" w:rsidRPr="00C66B91" w:rsidRDefault="008664A9" w:rsidP="008664A9">
            <w:pPr>
              <w:jc w:val="right"/>
              <w:rPr>
                <w:color w:val="000000"/>
                <w:sz w:val="22"/>
                <w:szCs w:val="22"/>
                <w:lang w:val="en-GB"/>
              </w:rPr>
            </w:pPr>
            <w:r w:rsidRPr="00C66B91">
              <w:rPr>
                <w:color w:val="000000"/>
                <w:sz w:val="22"/>
                <w:szCs w:val="22"/>
                <w:lang w:val="en-GB"/>
              </w:rPr>
              <w:t>2,584</w:t>
            </w:r>
          </w:p>
        </w:tc>
        <w:tc>
          <w:tcPr>
            <w:tcW w:w="927" w:type="pct"/>
            <w:tcBorders>
              <w:top w:val="nil"/>
              <w:left w:val="nil"/>
              <w:bottom w:val="nil"/>
              <w:right w:val="nil"/>
            </w:tcBorders>
            <w:tcMar>
              <w:right w:w="284" w:type="dxa"/>
            </w:tcMar>
            <w:vAlign w:val="center"/>
          </w:tcPr>
          <w:p w:rsidR="008664A9" w:rsidRPr="00C66B91" w:rsidRDefault="008664A9" w:rsidP="008664A9">
            <w:pPr>
              <w:jc w:val="right"/>
              <w:rPr>
                <w:sz w:val="22"/>
                <w:szCs w:val="22"/>
                <w:lang w:val="en-GB"/>
              </w:rPr>
            </w:pPr>
            <w:r w:rsidRPr="00C66B91">
              <w:rPr>
                <w:sz w:val="22"/>
                <w:szCs w:val="22"/>
                <w:lang w:val="en-GB"/>
              </w:rPr>
              <w:t>3,244</w:t>
            </w:r>
          </w:p>
        </w:tc>
      </w:tr>
      <w:tr w:rsidR="008664A9" w:rsidRPr="00C66B91" w:rsidTr="00C46C22">
        <w:trPr>
          <w:trHeight w:val="265"/>
        </w:trPr>
        <w:tc>
          <w:tcPr>
            <w:tcW w:w="3223" w:type="pct"/>
            <w:tcBorders>
              <w:top w:val="nil"/>
              <w:left w:val="nil"/>
              <w:bottom w:val="nil"/>
              <w:right w:val="nil"/>
            </w:tcBorders>
            <w:vAlign w:val="center"/>
          </w:tcPr>
          <w:p w:rsidR="008664A9" w:rsidRPr="005E30E6" w:rsidRDefault="008664A9" w:rsidP="008664A9">
            <w:pPr>
              <w:jc w:val="right"/>
              <w:rPr>
                <w:b/>
              </w:rPr>
            </w:pPr>
            <w:r w:rsidRPr="005E30E6">
              <w:rPr>
                <w:b/>
                <w:sz w:val="22"/>
                <w:szCs w:val="22"/>
              </w:rPr>
              <w:t>Total</w:t>
            </w:r>
          </w:p>
        </w:tc>
        <w:tc>
          <w:tcPr>
            <w:tcW w:w="850" w:type="pct"/>
            <w:tcBorders>
              <w:top w:val="single" w:sz="4" w:space="0" w:color="auto"/>
              <w:left w:val="nil"/>
              <w:bottom w:val="double" w:sz="6" w:space="0" w:color="auto"/>
              <w:right w:val="nil"/>
            </w:tcBorders>
            <w:tcMar>
              <w:right w:w="284" w:type="dxa"/>
            </w:tcMar>
            <w:vAlign w:val="center"/>
          </w:tcPr>
          <w:p w:rsidR="008664A9" w:rsidRPr="00C66B91" w:rsidRDefault="008664A9" w:rsidP="008664A9">
            <w:pPr>
              <w:jc w:val="right"/>
              <w:rPr>
                <w:b/>
                <w:color w:val="000000"/>
                <w:sz w:val="22"/>
                <w:szCs w:val="22"/>
                <w:lang w:val="en-GB"/>
              </w:rPr>
            </w:pPr>
            <w:r w:rsidRPr="00C66B91">
              <w:rPr>
                <w:b/>
                <w:color w:val="000000"/>
                <w:sz w:val="22"/>
                <w:szCs w:val="22"/>
                <w:lang w:val="en-GB"/>
              </w:rPr>
              <w:t>8,475</w:t>
            </w:r>
          </w:p>
        </w:tc>
        <w:tc>
          <w:tcPr>
            <w:tcW w:w="927" w:type="pct"/>
            <w:tcBorders>
              <w:top w:val="single" w:sz="4" w:space="0" w:color="auto"/>
              <w:left w:val="nil"/>
              <w:bottom w:val="double" w:sz="6" w:space="0" w:color="auto"/>
              <w:right w:val="nil"/>
            </w:tcBorders>
            <w:tcMar>
              <w:right w:w="284" w:type="dxa"/>
            </w:tcMar>
            <w:vAlign w:val="center"/>
          </w:tcPr>
          <w:p w:rsidR="008664A9" w:rsidRPr="00C66B91" w:rsidRDefault="008664A9" w:rsidP="008664A9">
            <w:pPr>
              <w:jc w:val="right"/>
              <w:rPr>
                <w:b/>
                <w:sz w:val="22"/>
                <w:szCs w:val="22"/>
                <w:lang w:val="en-GB"/>
              </w:rPr>
            </w:pPr>
            <w:r w:rsidRPr="00C66B91">
              <w:rPr>
                <w:b/>
                <w:sz w:val="22"/>
                <w:szCs w:val="22"/>
                <w:lang w:val="en-GB"/>
              </w:rPr>
              <w:t>11,046</w:t>
            </w:r>
          </w:p>
        </w:tc>
      </w:tr>
    </w:tbl>
    <w:p w:rsidR="00E922D1" w:rsidRPr="00C66B91" w:rsidRDefault="00E922D1" w:rsidP="00E922D1">
      <w:pPr>
        <w:ind w:right="-75"/>
        <w:jc w:val="both"/>
        <w:rPr>
          <w:b/>
          <w:sz w:val="22"/>
          <w:szCs w:val="22"/>
          <w:lang w:val="en-GB"/>
        </w:rPr>
      </w:pPr>
    </w:p>
    <w:p w:rsidR="00E922D1" w:rsidRPr="00C66B91" w:rsidRDefault="00E922D1" w:rsidP="00E922D1">
      <w:pPr>
        <w:numPr>
          <w:ilvl w:val="12"/>
          <w:numId w:val="0"/>
        </w:numPr>
        <w:ind w:right="-75"/>
        <w:jc w:val="both"/>
        <w:rPr>
          <w:sz w:val="22"/>
          <w:szCs w:val="22"/>
          <w:lang w:val="en-GB"/>
        </w:rPr>
      </w:pPr>
    </w:p>
    <w:p w:rsidR="000554E8" w:rsidRPr="000554E8" w:rsidRDefault="000554E8" w:rsidP="000554E8">
      <w:pPr>
        <w:numPr>
          <w:ilvl w:val="12"/>
          <w:numId w:val="0"/>
        </w:numPr>
        <w:ind w:right="-75"/>
        <w:jc w:val="both"/>
        <w:rPr>
          <w:b/>
          <w:sz w:val="22"/>
          <w:szCs w:val="22"/>
          <w:lang w:val="en-GB"/>
        </w:rPr>
      </w:pPr>
      <w:r w:rsidRPr="000554E8">
        <w:rPr>
          <w:b/>
          <w:sz w:val="22"/>
          <w:szCs w:val="22"/>
          <w:lang w:val="en-GB"/>
        </w:rPr>
        <w:t>9. EQUITY</w:t>
      </w:r>
    </w:p>
    <w:p w:rsidR="000554E8" w:rsidRPr="000554E8" w:rsidRDefault="000554E8" w:rsidP="000554E8">
      <w:pPr>
        <w:numPr>
          <w:ilvl w:val="12"/>
          <w:numId w:val="0"/>
        </w:numPr>
        <w:ind w:right="-75"/>
        <w:jc w:val="both"/>
        <w:rPr>
          <w:b/>
          <w:sz w:val="22"/>
          <w:szCs w:val="22"/>
          <w:lang w:val="en-GB"/>
        </w:rPr>
      </w:pPr>
    </w:p>
    <w:p w:rsidR="000554E8" w:rsidRPr="000554E8" w:rsidRDefault="000554E8" w:rsidP="000554E8">
      <w:pPr>
        <w:numPr>
          <w:ilvl w:val="12"/>
          <w:numId w:val="0"/>
        </w:numPr>
        <w:ind w:right="-75"/>
        <w:jc w:val="both"/>
        <w:rPr>
          <w:b/>
          <w:sz w:val="22"/>
          <w:szCs w:val="22"/>
          <w:lang w:val="en-GB"/>
        </w:rPr>
      </w:pPr>
      <w:r w:rsidRPr="000554E8">
        <w:rPr>
          <w:b/>
          <w:sz w:val="22"/>
          <w:szCs w:val="22"/>
          <w:lang w:val="en-GB"/>
        </w:rPr>
        <w:t>9.1 SHARE CAPITAL</w:t>
      </w:r>
    </w:p>
    <w:p w:rsidR="000554E8" w:rsidRPr="000554E8" w:rsidRDefault="000554E8" w:rsidP="000554E8">
      <w:pPr>
        <w:numPr>
          <w:ilvl w:val="12"/>
          <w:numId w:val="0"/>
        </w:numPr>
        <w:ind w:right="-75"/>
        <w:jc w:val="both"/>
        <w:rPr>
          <w:b/>
          <w:sz w:val="22"/>
          <w:szCs w:val="22"/>
          <w:lang w:val="en-GB"/>
        </w:rPr>
      </w:pPr>
      <w:r w:rsidRPr="000554E8">
        <w:rPr>
          <w:b/>
          <w:sz w:val="22"/>
          <w:szCs w:val="22"/>
          <w:lang w:val="en-GB"/>
        </w:rPr>
        <w:tab/>
      </w:r>
    </w:p>
    <w:p w:rsidR="00E922D1" w:rsidRPr="000554E8" w:rsidRDefault="000554E8" w:rsidP="000554E8">
      <w:pPr>
        <w:numPr>
          <w:ilvl w:val="12"/>
          <w:numId w:val="0"/>
        </w:numPr>
        <w:ind w:right="-75"/>
        <w:jc w:val="both"/>
        <w:rPr>
          <w:sz w:val="22"/>
          <w:szCs w:val="22"/>
          <w:lang w:val="en-GB"/>
        </w:rPr>
      </w:pPr>
      <w:r w:rsidRPr="000554E8">
        <w:rPr>
          <w:sz w:val="22"/>
          <w:szCs w:val="22"/>
          <w:lang w:val="en-GB"/>
        </w:rPr>
        <w:t>As of 30 June 2015, the registered capital of the Parent Company consists of 5,335,919 ordinary shares with par value of BGN 1 per share. All shares entitle to a dividend and to a liquidation share and represent one vote at the General Meeting of the Shareholders of the Company.</w:t>
      </w:r>
    </w:p>
    <w:tbl>
      <w:tblPr>
        <w:tblW w:w="4981" w:type="pct"/>
        <w:tblLook w:val="0000" w:firstRow="0" w:lastRow="0" w:firstColumn="0" w:lastColumn="0" w:noHBand="0" w:noVBand="0"/>
      </w:tblPr>
      <w:tblGrid>
        <w:gridCol w:w="5570"/>
        <w:gridCol w:w="1469"/>
        <w:gridCol w:w="2015"/>
      </w:tblGrid>
      <w:tr w:rsidR="000554E8" w:rsidRPr="005E30E6" w:rsidTr="000554E8">
        <w:trPr>
          <w:trHeight w:val="277"/>
        </w:trPr>
        <w:tc>
          <w:tcPr>
            <w:tcW w:w="3075" w:type="pct"/>
            <w:vMerge w:val="restart"/>
            <w:tcBorders>
              <w:top w:val="nil"/>
              <w:left w:val="nil"/>
              <w:bottom w:val="nil"/>
              <w:right w:val="nil"/>
            </w:tcBorders>
            <w:vAlign w:val="center"/>
          </w:tcPr>
          <w:p w:rsidR="000554E8" w:rsidRPr="005E30E6" w:rsidRDefault="000554E8" w:rsidP="000554E8">
            <w:pPr>
              <w:rPr>
                <w:b/>
                <w:sz w:val="22"/>
                <w:szCs w:val="22"/>
              </w:rPr>
            </w:pPr>
          </w:p>
          <w:p w:rsidR="000554E8" w:rsidRPr="005E30E6" w:rsidRDefault="000554E8" w:rsidP="000554E8">
            <w:pPr>
              <w:rPr>
                <w:b/>
                <w:sz w:val="22"/>
                <w:szCs w:val="22"/>
              </w:rPr>
            </w:pPr>
          </w:p>
        </w:tc>
        <w:tc>
          <w:tcPr>
            <w:tcW w:w="811" w:type="pct"/>
            <w:tcBorders>
              <w:top w:val="nil"/>
              <w:left w:val="nil"/>
              <w:bottom w:val="single" w:sz="4" w:space="0" w:color="auto"/>
              <w:right w:val="nil"/>
            </w:tcBorders>
            <w:tcMar>
              <w:left w:w="0" w:type="dxa"/>
              <w:right w:w="0" w:type="dxa"/>
            </w:tcMar>
          </w:tcPr>
          <w:p w:rsidR="000554E8" w:rsidRPr="005E30E6" w:rsidRDefault="000554E8" w:rsidP="000554E8">
            <w:pPr>
              <w:jc w:val="center"/>
              <w:rPr>
                <w:b/>
                <w:sz w:val="22"/>
                <w:szCs w:val="22"/>
              </w:rPr>
            </w:pPr>
            <w:r w:rsidRPr="005E30E6">
              <w:rPr>
                <w:b/>
                <w:sz w:val="22"/>
                <w:szCs w:val="22"/>
              </w:rPr>
              <w:t>2015</w:t>
            </w:r>
          </w:p>
        </w:tc>
        <w:tc>
          <w:tcPr>
            <w:tcW w:w="1113" w:type="pct"/>
            <w:tcBorders>
              <w:top w:val="nil"/>
              <w:left w:val="nil"/>
              <w:bottom w:val="single" w:sz="4" w:space="0" w:color="auto"/>
              <w:right w:val="nil"/>
            </w:tcBorders>
            <w:tcMar>
              <w:left w:w="0" w:type="dxa"/>
              <w:right w:w="0" w:type="dxa"/>
            </w:tcMar>
          </w:tcPr>
          <w:p w:rsidR="000554E8" w:rsidRPr="005E30E6" w:rsidRDefault="000554E8" w:rsidP="000554E8">
            <w:pPr>
              <w:jc w:val="center"/>
              <w:rPr>
                <w:b/>
                <w:sz w:val="22"/>
                <w:szCs w:val="22"/>
              </w:rPr>
            </w:pPr>
            <w:r w:rsidRPr="005E30E6">
              <w:rPr>
                <w:b/>
                <w:sz w:val="22"/>
                <w:szCs w:val="22"/>
              </w:rPr>
              <w:t>2014</w:t>
            </w:r>
          </w:p>
        </w:tc>
      </w:tr>
      <w:tr w:rsidR="000554E8" w:rsidRPr="005E30E6" w:rsidTr="000554E8">
        <w:trPr>
          <w:trHeight w:val="277"/>
        </w:trPr>
        <w:tc>
          <w:tcPr>
            <w:tcW w:w="3075" w:type="pct"/>
            <w:vMerge/>
            <w:tcBorders>
              <w:top w:val="nil"/>
              <w:left w:val="nil"/>
              <w:bottom w:val="nil"/>
              <w:right w:val="nil"/>
            </w:tcBorders>
            <w:vAlign w:val="center"/>
          </w:tcPr>
          <w:p w:rsidR="000554E8" w:rsidRPr="005E30E6" w:rsidRDefault="000554E8" w:rsidP="000554E8">
            <w:pPr>
              <w:rPr>
                <w:b/>
                <w:sz w:val="22"/>
                <w:szCs w:val="22"/>
              </w:rPr>
            </w:pPr>
          </w:p>
        </w:tc>
        <w:tc>
          <w:tcPr>
            <w:tcW w:w="811" w:type="pct"/>
            <w:tcBorders>
              <w:top w:val="single" w:sz="4" w:space="0" w:color="auto"/>
              <w:left w:val="nil"/>
              <w:bottom w:val="nil"/>
              <w:right w:val="nil"/>
            </w:tcBorders>
            <w:tcMar>
              <w:left w:w="0" w:type="dxa"/>
              <w:right w:w="0" w:type="dxa"/>
            </w:tcMar>
          </w:tcPr>
          <w:p w:rsidR="000554E8" w:rsidRPr="005E30E6" w:rsidRDefault="000554E8" w:rsidP="000554E8">
            <w:pPr>
              <w:jc w:val="center"/>
              <w:rPr>
                <w:b/>
                <w:sz w:val="22"/>
                <w:szCs w:val="22"/>
              </w:rPr>
            </w:pPr>
            <w:r w:rsidRPr="005E30E6">
              <w:rPr>
                <w:b/>
                <w:sz w:val="22"/>
                <w:szCs w:val="22"/>
              </w:rPr>
              <w:t>Number of shares</w:t>
            </w:r>
          </w:p>
        </w:tc>
        <w:tc>
          <w:tcPr>
            <w:tcW w:w="1113" w:type="pct"/>
            <w:tcBorders>
              <w:top w:val="single" w:sz="4" w:space="0" w:color="auto"/>
              <w:left w:val="nil"/>
              <w:bottom w:val="nil"/>
              <w:right w:val="nil"/>
            </w:tcBorders>
            <w:tcMar>
              <w:left w:w="0" w:type="dxa"/>
              <w:right w:w="0" w:type="dxa"/>
            </w:tcMar>
          </w:tcPr>
          <w:p w:rsidR="000554E8" w:rsidRPr="005E30E6" w:rsidRDefault="000554E8" w:rsidP="000554E8">
            <w:pPr>
              <w:jc w:val="center"/>
              <w:rPr>
                <w:b/>
                <w:sz w:val="22"/>
                <w:szCs w:val="22"/>
              </w:rPr>
            </w:pPr>
            <w:r w:rsidRPr="005E30E6">
              <w:rPr>
                <w:b/>
                <w:sz w:val="22"/>
                <w:szCs w:val="22"/>
              </w:rPr>
              <w:t>Number of shares</w:t>
            </w:r>
          </w:p>
        </w:tc>
      </w:tr>
      <w:tr w:rsidR="000554E8" w:rsidRPr="005E30E6" w:rsidTr="000554E8">
        <w:trPr>
          <w:trHeight w:val="80"/>
        </w:trPr>
        <w:tc>
          <w:tcPr>
            <w:tcW w:w="3075" w:type="pct"/>
            <w:tcBorders>
              <w:top w:val="nil"/>
              <w:left w:val="nil"/>
              <w:bottom w:val="nil"/>
              <w:right w:val="nil"/>
            </w:tcBorders>
            <w:vAlign w:val="center"/>
          </w:tcPr>
          <w:p w:rsidR="000554E8" w:rsidRPr="005E30E6" w:rsidRDefault="000554E8" w:rsidP="000554E8">
            <w:pPr>
              <w:rPr>
                <w:sz w:val="22"/>
                <w:szCs w:val="22"/>
              </w:rPr>
            </w:pPr>
          </w:p>
        </w:tc>
        <w:tc>
          <w:tcPr>
            <w:tcW w:w="811" w:type="pct"/>
            <w:tcBorders>
              <w:left w:val="nil"/>
              <w:right w:val="nil"/>
            </w:tcBorders>
            <w:tcMar>
              <w:left w:w="115" w:type="dxa"/>
              <w:right w:w="288" w:type="dxa"/>
            </w:tcMar>
            <w:vAlign w:val="center"/>
          </w:tcPr>
          <w:p w:rsidR="000554E8" w:rsidRPr="005E30E6" w:rsidRDefault="000554E8" w:rsidP="000554E8">
            <w:pPr>
              <w:jc w:val="right"/>
              <w:rPr>
                <w:sz w:val="22"/>
                <w:szCs w:val="22"/>
              </w:rPr>
            </w:pPr>
          </w:p>
        </w:tc>
        <w:tc>
          <w:tcPr>
            <w:tcW w:w="1113" w:type="pct"/>
            <w:tcBorders>
              <w:left w:val="nil"/>
              <w:right w:val="nil"/>
            </w:tcBorders>
            <w:tcMar>
              <w:left w:w="115" w:type="dxa"/>
              <w:right w:w="288" w:type="dxa"/>
            </w:tcMar>
            <w:vAlign w:val="center"/>
          </w:tcPr>
          <w:p w:rsidR="000554E8" w:rsidRPr="005E30E6" w:rsidRDefault="000554E8" w:rsidP="000554E8">
            <w:pPr>
              <w:jc w:val="right"/>
              <w:rPr>
                <w:sz w:val="22"/>
                <w:szCs w:val="22"/>
              </w:rPr>
            </w:pPr>
          </w:p>
        </w:tc>
      </w:tr>
      <w:tr w:rsidR="000554E8" w:rsidRPr="005E30E6" w:rsidTr="000554E8">
        <w:trPr>
          <w:trHeight w:val="277"/>
        </w:trPr>
        <w:tc>
          <w:tcPr>
            <w:tcW w:w="3075" w:type="pct"/>
            <w:tcBorders>
              <w:top w:val="nil"/>
              <w:left w:val="nil"/>
              <w:bottom w:val="nil"/>
              <w:right w:val="nil"/>
            </w:tcBorders>
            <w:vAlign w:val="center"/>
          </w:tcPr>
          <w:p w:rsidR="000554E8" w:rsidRPr="005E30E6" w:rsidRDefault="000554E8" w:rsidP="000554E8">
            <w:pPr>
              <w:ind w:hanging="108"/>
              <w:rPr>
                <w:sz w:val="22"/>
                <w:szCs w:val="22"/>
              </w:rPr>
            </w:pPr>
            <w:r w:rsidRPr="005E30E6">
              <w:rPr>
                <w:sz w:val="22"/>
                <w:szCs w:val="22"/>
              </w:rPr>
              <w:t>Number of issued and fully paid-in shares:</w:t>
            </w:r>
          </w:p>
        </w:tc>
        <w:tc>
          <w:tcPr>
            <w:tcW w:w="811" w:type="pct"/>
            <w:tcBorders>
              <w:left w:val="nil"/>
              <w:right w:val="nil"/>
            </w:tcBorders>
            <w:tcMar>
              <w:left w:w="115" w:type="dxa"/>
              <w:right w:w="288" w:type="dxa"/>
            </w:tcMar>
            <w:vAlign w:val="center"/>
          </w:tcPr>
          <w:p w:rsidR="000554E8" w:rsidRPr="005E30E6" w:rsidRDefault="000554E8" w:rsidP="000554E8">
            <w:pPr>
              <w:jc w:val="right"/>
              <w:rPr>
                <w:sz w:val="22"/>
                <w:szCs w:val="22"/>
              </w:rPr>
            </w:pPr>
          </w:p>
        </w:tc>
        <w:tc>
          <w:tcPr>
            <w:tcW w:w="1113" w:type="pct"/>
            <w:tcBorders>
              <w:left w:val="nil"/>
              <w:right w:val="nil"/>
            </w:tcBorders>
            <w:tcMar>
              <w:left w:w="115" w:type="dxa"/>
              <w:right w:w="288" w:type="dxa"/>
            </w:tcMar>
            <w:vAlign w:val="center"/>
          </w:tcPr>
          <w:p w:rsidR="000554E8" w:rsidRPr="005E30E6" w:rsidRDefault="000554E8" w:rsidP="000554E8">
            <w:pPr>
              <w:jc w:val="right"/>
              <w:rPr>
                <w:sz w:val="22"/>
                <w:szCs w:val="22"/>
              </w:rPr>
            </w:pPr>
          </w:p>
        </w:tc>
      </w:tr>
      <w:tr w:rsidR="000554E8" w:rsidRPr="005E30E6" w:rsidTr="000554E8">
        <w:trPr>
          <w:trHeight w:val="277"/>
        </w:trPr>
        <w:tc>
          <w:tcPr>
            <w:tcW w:w="3075" w:type="pct"/>
            <w:tcBorders>
              <w:top w:val="nil"/>
              <w:left w:val="nil"/>
              <w:bottom w:val="nil"/>
              <w:right w:val="nil"/>
            </w:tcBorders>
            <w:vAlign w:val="center"/>
          </w:tcPr>
          <w:p w:rsidR="000554E8" w:rsidRPr="005E30E6" w:rsidRDefault="000554E8" w:rsidP="000554E8">
            <w:pPr>
              <w:rPr>
                <w:sz w:val="22"/>
                <w:szCs w:val="22"/>
              </w:rPr>
            </w:pPr>
            <w:r>
              <w:rPr>
                <w:sz w:val="22"/>
                <w:szCs w:val="22"/>
              </w:rPr>
              <w:lastRenderedPageBreak/>
              <w:t>At</w:t>
            </w:r>
            <w:r w:rsidRPr="005E30E6">
              <w:rPr>
                <w:sz w:val="22"/>
                <w:szCs w:val="22"/>
              </w:rPr>
              <w:t xml:space="preserve"> the beginning of the year</w:t>
            </w:r>
          </w:p>
        </w:tc>
        <w:tc>
          <w:tcPr>
            <w:tcW w:w="811" w:type="pct"/>
            <w:tcBorders>
              <w:left w:val="nil"/>
              <w:right w:val="nil"/>
            </w:tcBorders>
            <w:tcMar>
              <w:left w:w="115" w:type="dxa"/>
              <w:right w:w="288" w:type="dxa"/>
            </w:tcMar>
            <w:vAlign w:val="center"/>
          </w:tcPr>
          <w:p w:rsidR="000554E8" w:rsidRPr="005E30E6" w:rsidRDefault="000554E8" w:rsidP="000554E8">
            <w:pPr>
              <w:ind w:right="-250"/>
              <w:jc w:val="right"/>
              <w:rPr>
                <w:sz w:val="22"/>
                <w:szCs w:val="22"/>
              </w:rPr>
            </w:pPr>
            <w:r w:rsidRPr="005E30E6">
              <w:rPr>
                <w:sz w:val="22"/>
                <w:szCs w:val="22"/>
              </w:rPr>
              <w:t>5,335,919</w:t>
            </w:r>
          </w:p>
        </w:tc>
        <w:tc>
          <w:tcPr>
            <w:tcW w:w="1113" w:type="pct"/>
            <w:tcBorders>
              <w:left w:val="nil"/>
              <w:right w:val="nil"/>
            </w:tcBorders>
            <w:tcMar>
              <w:left w:w="115" w:type="dxa"/>
              <w:right w:w="288" w:type="dxa"/>
            </w:tcMar>
            <w:vAlign w:val="center"/>
          </w:tcPr>
          <w:p w:rsidR="000554E8" w:rsidRPr="005E30E6" w:rsidRDefault="000554E8" w:rsidP="000554E8">
            <w:pPr>
              <w:jc w:val="right"/>
              <w:rPr>
                <w:sz w:val="22"/>
                <w:szCs w:val="22"/>
              </w:rPr>
            </w:pPr>
            <w:r w:rsidRPr="005E30E6">
              <w:rPr>
                <w:sz w:val="22"/>
                <w:szCs w:val="22"/>
              </w:rPr>
              <w:t>4,446,600</w:t>
            </w:r>
          </w:p>
        </w:tc>
      </w:tr>
      <w:tr w:rsidR="000554E8" w:rsidRPr="005E30E6" w:rsidTr="000554E8">
        <w:trPr>
          <w:trHeight w:val="277"/>
        </w:trPr>
        <w:tc>
          <w:tcPr>
            <w:tcW w:w="3075" w:type="pct"/>
            <w:tcBorders>
              <w:top w:val="nil"/>
              <w:left w:val="nil"/>
              <w:bottom w:val="nil"/>
              <w:right w:val="nil"/>
            </w:tcBorders>
            <w:vAlign w:val="center"/>
          </w:tcPr>
          <w:p w:rsidR="000554E8" w:rsidRPr="005E30E6" w:rsidRDefault="000554E8" w:rsidP="000554E8">
            <w:pPr>
              <w:rPr>
                <w:sz w:val="22"/>
                <w:szCs w:val="22"/>
              </w:rPr>
            </w:pPr>
            <w:r w:rsidRPr="005E30E6">
              <w:rPr>
                <w:sz w:val="22"/>
                <w:szCs w:val="22"/>
              </w:rPr>
              <w:t>Number of issued and fully paid-in shares</w:t>
            </w:r>
          </w:p>
        </w:tc>
        <w:tc>
          <w:tcPr>
            <w:tcW w:w="811" w:type="pct"/>
            <w:tcBorders>
              <w:left w:val="nil"/>
              <w:right w:val="nil"/>
            </w:tcBorders>
            <w:tcMar>
              <w:left w:w="115" w:type="dxa"/>
              <w:right w:w="288" w:type="dxa"/>
            </w:tcMar>
            <w:vAlign w:val="center"/>
          </w:tcPr>
          <w:p w:rsidR="000554E8" w:rsidRPr="005E30E6" w:rsidRDefault="000554E8" w:rsidP="000554E8">
            <w:pPr>
              <w:ind w:right="-250"/>
              <w:jc w:val="right"/>
              <w:rPr>
                <w:sz w:val="22"/>
                <w:szCs w:val="22"/>
              </w:rPr>
            </w:pPr>
            <w:r w:rsidRPr="005E30E6">
              <w:rPr>
                <w:sz w:val="22"/>
                <w:szCs w:val="22"/>
              </w:rPr>
              <w:t>-</w:t>
            </w:r>
          </w:p>
        </w:tc>
        <w:tc>
          <w:tcPr>
            <w:tcW w:w="1113" w:type="pct"/>
            <w:tcBorders>
              <w:left w:val="nil"/>
              <w:right w:val="nil"/>
            </w:tcBorders>
            <w:tcMar>
              <w:left w:w="115" w:type="dxa"/>
              <w:right w:w="288" w:type="dxa"/>
            </w:tcMar>
            <w:vAlign w:val="center"/>
          </w:tcPr>
          <w:p w:rsidR="000554E8" w:rsidRPr="005E30E6" w:rsidRDefault="000554E8" w:rsidP="000554E8">
            <w:pPr>
              <w:jc w:val="right"/>
              <w:rPr>
                <w:sz w:val="22"/>
                <w:szCs w:val="22"/>
              </w:rPr>
            </w:pPr>
            <w:r w:rsidRPr="005E30E6">
              <w:rPr>
                <w:sz w:val="22"/>
                <w:szCs w:val="22"/>
              </w:rPr>
              <w:t>889,319</w:t>
            </w:r>
          </w:p>
        </w:tc>
      </w:tr>
      <w:tr w:rsidR="000554E8" w:rsidRPr="005E30E6" w:rsidTr="000554E8">
        <w:trPr>
          <w:trHeight w:val="277"/>
        </w:trPr>
        <w:tc>
          <w:tcPr>
            <w:tcW w:w="3075" w:type="pct"/>
            <w:tcBorders>
              <w:top w:val="nil"/>
              <w:left w:val="nil"/>
              <w:bottom w:val="nil"/>
              <w:right w:val="nil"/>
            </w:tcBorders>
            <w:vAlign w:val="center"/>
          </w:tcPr>
          <w:p w:rsidR="000554E8" w:rsidRPr="005E30E6" w:rsidRDefault="000554E8" w:rsidP="000554E8">
            <w:pPr>
              <w:rPr>
                <w:b/>
                <w:sz w:val="22"/>
                <w:szCs w:val="22"/>
              </w:rPr>
            </w:pPr>
            <w:r w:rsidRPr="005E30E6">
              <w:rPr>
                <w:b/>
                <w:sz w:val="22"/>
                <w:szCs w:val="22"/>
              </w:rPr>
              <w:t>Total number of shares authorized in the end of the period</w:t>
            </w:r>
          </w:p>
        </w:tc>
        <w:tc>
          <w:tcPr>
            <w:tcW w:w="811" w:type="pct"/>
            <w:tcBorders>
              <w:top w:val="single" w:sz="4" w:space="0" w:color="auto"/>
              <w:left w:val="nil"/>
              <w:bottom w:val="double" w:sz="6" w:space="0" w:color="auto"/>
              <w:right w:val="nil"/>
            </w:tcBorders>
            <w:tcMar>
              <w:left w:w="115" w:type="dxa"/>
              <w:right w:w="288" w:type="dxa"/>
            </w:tcMar>
            <w:vAlign w:val="center"/>
          </w:tcPr>
          <w:p w:rsidR="000554E8" w:rsidRPr="005E30E6" w:rsidRDefault="000554E8" w:rsidP="000554E8">
            <w:pPr>
              <w:ind w:right="-250"/>
              <w:jc w:val="right"/>
              <w:rPr>
                <w:b/>
                <w:sz w:val="22"/>
                <w:szCs w:val="22"/>
              </w:rPr>
            </w:pPr>
            <w:r w:rsidRPr="005E30E6">
              <w:rPr>
                <w:sz w:val="22"/>
                <w:szCs w:val="22"/>
              </w:rPr>
              <w:t>5,335,919</w:t>
            </w:r>
          </w:p>
        </w:tc>
        <w:tc>
          <w:tcPr>
            <w:tcW w:w="1113" w:type="pct"/>
            <w:tcBorders>
              <w:top w:val="single" w:sz="4" w:space="0" w:color="auto"/>
              <w:left w:val="nil"/>
              <w:bottom w:val="double" w:sz="6" w:space="0" w:color="auto"/>
              <w:right w:val="nil"/>
            </w:tcBorders>
            <w:tcMar>
              <w:left w:w="115" w:type="dxa"/>
              <w:right w:w="288" w:type="dxa"/>
            </w:tcMar>
            <w:vAlign w:val="center"/>
          </w:tcPr>
          <w:p w:rsidR="000554E8" w:rsidRPr="005E30E6" w:rsidRDefault="000554E8" w:rsidP="000554E8">
            <w:pPr>
              <w:jc w:val="right"/>
              <w:rPr>
                <w:b/>
                <w:bCs/>
                <w:sz w:val="22"/>
                <w:szCs w:val="22"/>
              </w:rPr>
            </w:pPr>
            <w:r w:rsidRPr="005E30E6">
              <w:rPr>
                <w:sz w:val="22"/>
                <w:szCs w:val="22"/>
              </w:rPr>
              <w:t>5,335,919</w:t>
            </w:r>
          </w:p>
        </w:tc>
      </w:tr>
    </w:tbl>
    <w:p w:rsidR="000554E8" w:rsidRPr="005E30E6" w:rsidRDefault="000554E8" w:rsidP="000554E8">
      <w:pPr>
        <w:numPr>
          <w:ilvl w:val="12"/>
          <w:numId w:val="0"/>
        </w:numPr>
        <w:ind w:right="-75"/>
        <w:jc w:val="both"/>
        <w:rPr>
          <w:sz w:val="22"/>
          <w:szCs w:val="22"/>
        </w:rPr>
      </w:pPr>
    </w:p>
    <w:p w:rsidR="00E922D1" w:rsidRDefault="000554E8" w:rsidP="000554E8">
      <w:pPr>
        <w:numPr>
          <w:ilvl w:val="12"/>
          <w:numId w:val="0"/>
        </w:numPr>
        <w:ind w:right="-75"/>
        <w:jc w:val="both"/>
        <w:rPr>
          <w:sz w:val="22"/>
          <w:szCs w:val="22"/>
        </w:rPr>
      </w:pPr>
      <w:r w:rsidRPr="005E30E6">
        <w:rPr>
          <w:sz w:val="22"/>
          <w:szCs w:val="22"/>
        </w:rPr>
        <w:t>The list of the main shareholders of the Parent Company is the following:</w:t>
      </w:r>
    </w:p>
    <w:p w:rsidR="000554E8" w:rsidRPr="00C66B91" w:rsidRDefault="000554E8" w:rsidP="000554E8">
      <w:pPr>
        <w:numPr>
          <w:ilvl w:val="12"/>
          <w:numId w:val="0"/>
        </w:numPr>
        <w:ind w:right="-75"/>
        <w:jc w:val="both"/>
        <w:rPr>
          <w:sz w:val="22"/>
          <w:szCs w:val="22"/>
          <w:lang w:val="en-GB"/>
        </w:rPr>
      </w:pPr>
    </w:p>
    <w:tbl>
      <w:tblPr>
        <w:tblW w:w="4951" w:type="pct"/>
        <w:tblLayout w:type="fixed"/>
        <w:tblLook w:val="0000" w:firstRow="0" w:lastRow="0" w:firstColumn="0" w:lastColumn="0" w:noHBand="0" w:noVBand="0"/>
      </w:tblPr>
      <w:tblGrid>
        <w:gridCol w:w="3118"/>
        <w:gridCol w:w="1696"/>
        <w:gridCol w:w="1247"/>
        <w:gridCol w:w="1661"/>
        <w:gridCol w:w="1278"/>
      </w:tblGrid>
      <w:tr w:rsidR="00E922D1" w:rsidRPr="00C66B91" w:rsidTr="00C46C22">
        <w:trPr>
          <w:trHeight w:val="227"/>
        </w:trPr>
        <w:tc>
          <w:tcPr>
            <w:tcW w:w="1732" w:type="pct"/>
          </w:tcPr>
          <w:p w:rsidR="00E922D1" w:rsidRPr="00C66B91" w:rsidRDefault="00E922D1" w:rsidP="00C46C22">
            <w:pPr>
              <w:rPr>
                <w:sz w:val="22"/>
                <w:szCs w:val="22"/>
                <w:lang w:val="en-GB"/>
              </w:rPr>
            </w:pPr>
          </w:p>
        </w:tc>
        <w:tc>
          <w:tcPr>
            <w:tcW w:w="1635" w:type="pct"/>
            <w:gridSpan w:val="2"/>
            <w:tcBorders>
              <w:bottom w:val="single" w:sz="4" w:space="0" w:color="auto"/>
            </w:tcBorders>
          </w:tcPr>
          <w:p w:rsidR="00E922D1" w:rsidRPr="00C66B91" w:rsidRDefault="008A588E" w:rsidP="00C46C22">
            <w:pPr>
              <w:jc w:val="center"/>
              <w:rPr>
                <w:b/>
                <w:sz w:val="22"/>
                <w:szCs w:val="22"/>
                <w:lang w:val="en-GB"/>
              </w:rPr>
            </w:pPr>
            <w:r w:rsidRPr="00C66B91">
              <w:rPr>
                <w:b/>
                <w:sz w:val="22"/>
                <w:szCs w:val="22"/>
                <w:lang w:val="en-GB"/>
              </w:rPr>
              <w:t>30.06</w:t>
            </w:r>
            <w:r w:rsidR="00E922D1" w:rsidRPr="00C66B91">
              <w:rPr>
                <w:b/>
                <w:sz w:val="22"/>
                <w:szCs w:val="22"/>
                <w:lang w:val="en-GB"/>
              </w:rPr>
              <w:t>.2015 г.</w:t>
            </w:r>
          </w:p>
        </w:tc>
        <w:tc>
          <w:tcPr>
            <w:tcW w:w="1633" w:type="pct"/>
            <w:gridSpan w:val="2"/>
            <w:tcBorders>
              <w:bottom w:val="single" w:sz="4" w:space="0" w:color="auto"/>
            </w:tcBorders>
          </w:tcPr>
          <w:p w:rsidR="00E922D1" w:rsidRPr="00C66B91" w:rsidRDefault="00E922D1" w:rsidP="00C46C22">
            <w:pPr>
              <w:ind w:right="113"/>
              <w:jc w:val="center"/>
              <w:rPr>
                <w:b/>
                <w:sz w:val="22"/>
                <w:szCs w:val="22"/>
                <w:lang w:val="en-GB"/>
              </w:rPr>
            </w:pPr>
            <w:r w:rsidRPr="00C66B91">
              <w:rPr>
                <w:b/>
                <w:sz w:val="22"/>
                <w:szCs w:val="22"/>
                <w:lang w:val="en-GB"/>
              </w:rPr>
              <w:t>31.12.2014г.</w:t>
            </w:r>
          </w:p>
        </w:tc>
      </w:tr>
      <w:tr w:rsidR="007566D9" w:rsidRPr="00C66B91" w:rsidTr="00C46C22">
        <w:trPr>
          <w:trHeight w:val="227"/>
        </w:trPr>
        <w:tc>
          <w:tcPr>
            <w:tcW w:w="1732" w:type="pct"/>
          </w:tcPr>
          <w:p w:rsidR="007566D9" w:rsidRPr="00C66B91" w:rsidRDefault="007566D9" w:rsidP="007566D9">
            <w:pPr>
              <w:rPr>
                <w:sz w:val="22"/>
                <w:szCs w:val="22"/>
                <w:lang w:val="en-GB"/>
              </w:rPr>
            </w:pPr>
          </w:p>
        </w:tc>
        <w:tc>
          <w:tcPr>
            <w:tcW w:w="942" w:type="pct"/>
            <w:tcBorders>
              <w:top w:val="single" w:sz="4" w:space="0" w:color="auto"/>
            </w:tcBorders>
          </w:tcPr>
          <w:p w:rsidR="007566D9" w:rsidRPr="00C66B91" w:rsidRDefault="007566D9" w:rsidP="007566D9">
            <w:pPr>
              <w:jc w:val="right"/>
              <w:rPr>
                <w:b/>
                <w:sz w:val="22"/>
                <w:szCs w:val="22"/>
                <w:lang w:val="en-GB"/>
              </w:rPr>
            </w:pPr>
            <w:r>
              <w:rPr>
                <w:b/>
                <w:sz w:val="22"/>
                <w:szCs w:val="22"/>
                <w:lang w:val="en-GB"/>
              </w:rPr>
              <w:t># of shares</w:t>
            </w:r>
          </w:p>
        </w:tc>
        <w:tc>
          <w:tcPr>
            <w:tcW w:w="693" w:type="pct"/>
            <w:tcBorders>
              <w:top w:val="single" w:sz="4" w:space="0" w:color="auto"/>
            </w:tcBorders>
          </w:tcPr>
          <w:p w:rsidR="007566D9" w:rsidRPr="00C66B91" w:rsidRDefault="007566D9" w:rsidP="007566D9">
            <w:pPr>
              <w:jc w:val="center"/>
              <w:rPr>
                <w:b/>
                <w:sz w:val="22"/>
                <w:szCs w:val="22"/>
                <w:lang w:val="en-GB"/>
              </w:rPr>
            </w:pPr>
            <w:r w:rsidRPr="00C66B91">
              <w:rPr>
                <w:b/>
                <w:sz w:val="22"/>
                <w:szCs w:val="22"/>
                <w:lang w:val="en-GB"/>
              </w:rPr>
              <w:t xml:space="preserve">         %</w:t>
            </w:r>
          </w:p>
        </w:tc>
        <w:tc>
          <w:tcPr>
            <w:tcW w:w="923" w:type="pct"/>
            <w:tcBorders>
              <w:top w:val="single" w:sz="4" w:space="0" w:color="auto"/>
            </w:tcBorders>
          </w:tcPr>
          <w:p w:rsidR="007566D9" w:rsidRPr="00C66B91" w:rsidRDefault="007566D9" w:rsidP="007566D9">
            <w:pPr>
              <w:jc w:val="right"/>
              <w:rPr>
                <w:b/>
                <w:sz w:val="22"/>
                <w:szCs w:val="22"/>
                <w:lang w:val="en-GB"/>
              </w:rPr>
            </w:pPr>
            <w:r>
              <w:rPr>
                <w:b/>
                <w:sz w:val="22"/>
                <w:szCs w:val="22"/>
                <w:lang w:val="en-GB"/>
              </w:rPr>
              <w:t># of shares</w:t>
            </w:r>
          </w:p>
        </w:tc>
        <w:tc>
          <w:tcPr>
            <w:tcW w:w="710" w:type="pct"/>
            <w:tcBorders>
              <w:top w:val="single" w:sz="4" w:space="0" w:color="auto"/>
            </w:tcBorders>
          </w:tcPr>
          <w:p w:rsidR="007566D9" w:rsidRPr="00C66B91" w:rsidRDefault="007566D9" w:rsidP="007566D9">
            <w:pPr>
              <w:jc w:val="center"/>
              <w:rPr>
                <w:b/>
                <w:sz w:val="22"/>
                <w:szCs w:val="22"/>
                <w:lang w:val="en-GB"/>
              </w:rPr>
            </w:pPr>
            <w:r w:rsidRPr="00C66B91">
              <w:rPr>
                <w:b/>
                <w:sz w:val="22"/>
                <w:szCs w:val="22"/>
                <w:lang w:val="en-GB"/>
              </w:rPr>
              <w:t xml:space="preserve">         %</w:t>
            </w:r>
          </w:p>
        </w:tc>
      </w:tr>
      <w:tr w:rsidR="00E922D1" w:rsidRPr="00C66B91" w:rsidTr="00C46C22">
        <w:trPr>
          <w:trHeight w:val="227"/>
        </w:trPr>
        <w:tc>
          <w:tcPr>
            <w:tcW w:w="1732" w:type="pct"/>
          </w:tcPr>
          <w:p w:rsidR="00E922D1" w:rsidRPr="00C66B91" w:rsidRDefault="00E922D1" w:rsidP="00C46C22">
            <w:pPr>
              <w:rPr>
                <w:sz w:val="22"/>
                <w:szCs w:val="22"/>
                <w:lang w:val="en-GB"/>
              </w:rPr>
            </w:pPr>
          </w:p>
        </w:tc>
        <w:tc>
          <w:tcPr>
            <w:tcW w:w="942" w:type="pct"/>
          </w:tcPr>
          <w:p w:rsidR="00E922D1" w:rsidRPr="00C66B91" w:rsidRDefault="00E922D1" w:rsidP="00C46C22">
            <w:pPr>
              <w:ind w:right="113"/>
              <w:jc w:val="right"/>
              <w:rPr>
                <w:sz w:val="22"/>
                <w:szCs w:val="22"/>
                <w:lang w:val="en-GB"/>
              </w:rPr>
            </w:pPr>
          </w:p>
        </w:tc>
        <w:tc>
          <w:tcPr>
            <w:tcW w:w="693" w:type="pct"/>
          </w:tcPr>
          <w:p w:rsidR="00E922D1" w:rsidRPr="00C66B91" w:rsidRDefault="00E922D1" w:rsidP="00C46C22">
            <w:pPr>
              <w:jc w:val="right"/>
              <w:rPr>
                <w:sz w:val="22"/>
                <w:szCs w:val="22"/>
                <w:lang w:val="en-GB"/>
              </w:rPr>
            </w:pPr>
          </w:p>
        </w:tc>
        <w:tc>
          <w:tcPr>
            <w:tcW w:w="923" w:type="pct"/>
          </w:tcPr>
          <w:p w:rsidR="00E922D1" w:rsidRPr="00C66B91" w:rsidRDefault="00E922D1" w:rsidP="00C46C22">
            <w:pPr>
              <w:ind w:right="-28"/>
              <w:jc w:val="right"/>
              <w:rPr>
                <w:sz w:val="22"/>
                <w:szCs w:val="22"/>
                <w:lang w:val="en-GB"/>
              </w:rPr>
            </w:pPr>
          </w:p>
        </w:tc>
        <w:tc>
          <w:tcPr>
            <w:tcW w:w="710" w:type="pct"/>
          </w:tcPr>
          <w:p w:rsidR="00E922D1" w:rsidRPr="00C66B91" w:rsidRDefault="00E922D1" w:rsidP="00C46C22">
            <w:pPr>
              <w:ind w:right="113"/>
              <w:jc w:val="right"/>
              <w:rPr>
                <w:sz w:val="22"/>
                <w:szCs w:val="22"/>
                <w:lang w:val="en-GB"/>
              </w:rPr>
            </w:pPr>
          </w:p>
        </w:tc>
      </w:tr>
      <w:tr w:rsidR="000554E8" w:rsidRPr="00C66B91" w:rsidTr="00C46C22">
        <w:trPr>
          <w:trHeight w:val="227"/>
        </w:trPr>
        <w:tc>
          <w:tcPr>
            <w:tcW w:w="1732" w:type="pct"/>
          </w:tcPr>
          <w:p w:rsidR="000554E8" w:rsidRPr="005E30E6" w:rsidRDefault="000554E8" w:rsidP="000554E8">
            <w:pPr>
              <w:rPr>
                <w:sz w:val="22"/>
                <w:szCs w:val="22"/>
              </w:rPr>
            </w:pPr>
            <w:r w:rsidRPr="005E30E6">
              <w:rPr>
                <w:sz w:val="22"/>
                <w:szCs w:val="22"/>
              </w:rPr>
              <w:t xml:space="preserve">SPEEDY Group AD  </w:t>
            </w:r>
          </w:p>
        </w:tc>
        <w:tc>
          <w:tcPr>
            <w:tcW w:w="942" w:type="pct"/>
            <w:vAlign w:val="center"/>
          </w:tcPr>
          <w:p w:rsidR="000554E8" w:rsidRPr="00C66B91" w:rsidRDefault="000554E8" w:rsidP="000554E8">
            <w:pPr>
              <w:ind w:right="-41"/>
              <w:jc w:val="right"/>
              <w:rPr>
                <w:sz w:val="22"/>
                <w:szCs w:val="22"/>
                <w:lang w:val="en-GB"/>
              </w:rPr>
            </w:pPr>
            <w:r w:rsidRPr="00C66B91">
              <w:rPr>
                <w:sz w:val="22"/>
                <w:szCs w:val="22"/>
                <w:lang w:val="en-GB"/>
              </w:rPr>
              <w:t>3,544,367</w:t>
            </w:r>
          </w:p>
        </w:tc>
        <w:tc>
          <w:tcPr>
            <w:tcW w:w="693" w:type="pct"/>
            <w:vAlign w:val="center"/>
          </w:tcPr>
          <w:p w:rsidR="000554E8" w:rsidRPr="00C66B91" w:rsidRDefault="000554E8" w:rsidP="000554E8">
            <w:pPr>
              <w:jc w:val="right"/>
              <w:rPr>
                <w:sz w:val="22"/>
                <w:szCs w:val="22"/>
                <w:lang w:val="en-GB"/>
              </w:rPr>
            </w:pPr>
            <w:r w:rsidRPr="00C66B91">
              <w:rPr>
                <w:sz w:val="22"/>
                <w:szCs w:val="22"/>
                <w:lang w:val="en-GB"/>
              </w:rPr>
              <w:t>66.42%</w:t>
            </w:r>
          </w:p>
        </w:tc>
        <w:tc>
          <w:tcPr>
            <w:tcW w:w="923" w:type="pct"/>
            <w:vAlign w:val="center"/>
          </w:tcPr>
          <w:p w:rsidR="000554E8" w:rsidRPr="00C66B91" w:rsidRDefault="000554E8" w:rsidP="000554E8">
            <w:pPr>
              <w:ind w:right="-28"/>
              <w:jc w:val="right"/>
              <w:rPr>
                <w:sz w:val="22"/>
                <w:szCs w:val="22"/>
                <w:lang w:val="en-GB"/>
              </w:rPr>
            </w:pPr>
            <w:r w:rsidRPr="00C66B91">
              <w:rPr>
                <w:sz w:val="22"/>
                <w:szCs w:val="22"/>
                <w:lang w:val="en-GB"/>
              </w:rPr>
              <w:t>3,544,367</w:t>
            </w:r>
          </w:p>
        </w:tc>
        <w:tc>
          <w:tcPr>
            <w:tcW w:w="710" w:type="pct"/>
            <w:vAlign w:val="center"/>
          </w:tcPr>
          <w:p w:rsidR="000554E8" w:rsidRPr="00C66B91" w:rsidRDefault="000554E8" w:rsidP="000554E8">
            <w:pPr>
              <w:ind w:right="113"/>
              <w:jc w:val="right"/>
              <w:rPr>
                <w:sz w:val="22"/>
                <w:szCs w:val="22"/>
                <w:lang w:val="en-GB"/>
              </w:rPr>
            </w:pPr>
            <w:r w:rsidRPr="00C66B91">
              <w:rPr>
                <w:sz w:val="22"/>
                <w:szCs w:val="22"/>
                <w:lang w:val="en-GB"/>
              </w:rPr>
              <w:t>66.42%</w:t>
            </w:r>
          </w:p>
        </w:tc>
      </w:tr>
      <w:tr w:rsidR="000554E8" w:rsidRPr="00C66B91" w:rsidTr="00C46C22">
        <w:trPr>
          <w:trHeight w:val="227"/>
        </w:trPr>
        <w:tc>
          <w:tcPr>
            <w:tcW w:w="1732" w:type="pct"/>
          </w:tcPr>
          <w:p w:rsidR="000554E8" w:rsidRPr="005E30E6" w:rsidRDefault="000554E8" w:rsidP="000554E8">
            <w:pPr>
              <w:rPr>
                <w:rFonts w:ascii="Calibri" w:hAnsi="Calibri"/>
                <w:sz w:val="22"/>
                <w:szCs w:val="22"/>
              </w:rPr>
            </w:pPr>
            <w:r w:rsidRPr="005E30E6">
              <w:rPr>
                <w:sz w:val="22"/>
                <w:szCs w:val="22"/>
              </w:rPr>
              <w:t>GeoPost SA, France</w:t>
            </w:r>
          </w:p>
        </w:tc>
        <w:tc>
          <w:tcPr>
            <w:tcW w:w="942" w:type="pct"/>
            <w:vAlign w:val="center"/>
          </w:tcPr>
          <w:p w:rsidR="000554E8" w:rsidRPr="00C66B91" w:rsidRDefault="000554E8" w:rsidP="000554E8">
            <w:pPr>
              <w:ind w:right="-41"/>
              <w:jc w:val="right"/>
              <w:rPr>
                <w:sz w:val="22"/>
                <w:szCs w:val="22"/>
                <w:lang w:val="en-GB"/>
              </w:rPr>
            </w:pPr>
            <w:r w:rsidRPr="00C66B91">
              <w:rPr>
                <w:sz w:val="22"/>
                <w:szCs w:val="22"/>
                <w:lang w:val="en-GB"/>
              </w:rPr>
              <w:t>1,333,979</w:t>
            </w:r>
          </w:p>
        </w:tc>
        <w:tc>
          <w:tcPr>
            <w:tcW w:w="693" w:type="pct"/>
            <w:vAlign w:val="center"/>
          </w:tcPr>
          <w:p w:rsidR="000554E8" w:rsidRPr="00C66B91" w:rsidRDefault="000554E8" w:rsidP="000554E8">
            <w:pPr>
              <w:jc w:val="right"/>
              <w:rPr>
                <w:sz w:val="22"/>
                <w:szCs w:val="22"/>
                <w:lang w:val="en-GB"/>
              </w:rPr>
            </w:pPr>
            <w:r w:rsidRPr="00C66B91">
              <w:rPr>
                <w:sz w:val="22"/>
                <w:szCs w:val="22"/>
                <w:lang w:val="en-GB"/>
              </w:rPr>
              <w:t>25.00%</w:t>
            </w:r>
          </w:p>
        </w:tc>
        <w:tc>
          <w:tcPr>
            <w:tcW w:w="923" w:type="pct"/>
            <w:vAlign w:val="center"/>
          </w:tcPr>
          <w:p w:rsidR="000554E8" w:rsidRPr="00C66B91" w:rsidRDefault="000554E8" w:rsidP="000554E8">
            <w:pPr>
              <w:ind w:right="-28"/>
              <w:jc w:val="right"/>
              <w:rPr>
                <w:sz w:val="22"/>
                <w:szCs w:val="22"/>
                <w:lang w:val="en-GB"/>
              </w:rPr>
            </w:pPr>
            <w:r w:rsidRPr="00C66B91">
              <w:rPr>
                <w:sz w:val="22"/>
                <w:szCs w:val="22"/>
                <w:lang w:val="en-GB"/>
              </w:rPr>
              <w:t>1,333,979</w:t>
            </w:r>
          </w:p>
        </w:tc>
        <w:tc>
          <w:tcPr>
            <w:tcW w:w="710" w:type="pct"/>
            <w:vAlign w:val="center"/>
          </w:tcPr>
          <w:p w:rsidR="000554E8" w:rsidRPr="00C66B91" w:rsidRDefault="000554E8" w:rsidP="000554E8">
            <w:pPr>
              <w:ind w:right="113"/>
              <w:jc w:val="right"/>
              <w:rPr>
                <w:sz w:val="22"/>
                <w:szCs w:val="22"/>
                <w:lang w:val="en-GB"/>
              </w:rPr>
            </w:pPr>
            <w:r w:rsidRPr="00C66B91">
              <w:rPr>
                <w:sz w:val="22"/>
                <w:szCs w:val="22"/>
                <w:lang w:val="en-GB"/>
              </w:rPr>
              <w:t>25.00%</w:t>
            </w:r>
          </w:p>
        </w:tc>
      </w:tr>
      <w:tr w:rsidR="000554E8" w:rsidRPr="00C66B91" w:rsidTr="00C46C22">
        <w:trPr>
          <w:trHeight w:val="227"/>
        </w:trPr>
        <w:tc>
          <w:tcPr>
            <w:tcW w:w="1732" w:type="pct"/>
          </w:tcPr>
          <w:p w:rsidR="000554E8" w:rsidRPr="005E30E6" w:rsidRDefault="000554E8" w:rsidP="007566D9">
            <w:pPr>
              <w:rPr>
                <w:sz w:val="22"/>
                <w:szCs w:val="22"/>
              </w:rPr>
            </w:pPr>
            <w:r w:rsidRPr="005E30E6">
              <w:rPr>
                <w:sz w:val="22"/>
                <w:szCs w:val="22"/>
              </w:rPr>
              <w:t>Other natural and legal entities</w:t>
            </w:r>
          </w:p>
        </w:tc>
        <w:tc>
          <w:tcPr>
            <w:tcW w:w="942" w:type="pct"/>
            <w:tcBorders>
              <w:bottom w:val="single" w:sz="4" w:space="0" w:color="auto"/>
            </w:tcBorders>
            <w:vAlign w:val="center"/>
          </w:tcPr>
          <w:p w:rsidR="000554E8" w:rsidRPr="00C66B91" w:rsidRDefault="000554E8" w:rsidP="000554E8">
            <w:pPr>
              <w:ind w:right="-41"/>
              <w:jc w:val="right"/>
              <w:rPr>
                <w:sz w:val="22"/>
                <w:szCs w:val="22"/>
                <w:lang w:val="en-GB"/>
              </w:rPr>
            </w:pPr>
            <w:r w:rsidRPr="00C66B91">
              <w:rPr>
                <w:sz w:val="22"/>
                <w:szCs w:val="22"/>
                <w:lang w:val="en-GB"/>
              </w:rPr>
              <w:t>457,573</w:t>
            </w:r>
          </w:p>
        </w:tc>
        <w:tc>
          <w:tcPr>
            <w:tcW w:w="693" w:type="pct"/>
            <w:tcBorders>
              <w:bottom w:val="single" w:sz="4" w:space="0" w:color="auto"/>
            </w:tcBorders>
            <w:vAlign w:val="center"/>
          </w:tcPr>
          <w:p w:rsidR="000554E8" w:rsidRPr="00C66B91" w:rsidRDefault="000554E8" w:rsidP="000554E8">
            <w:pPr>
              <w:jc w:val="right"/>
              <w:rPr>
                <w:sz w:val="22"/>
                <w:szCs w:val="22"/>
                <w:lang w:val="en-GB"/>
              </w:rPr>
            </w:pPr>
            <w:r w:rsidRPr="00C66B91">
              <w:rPr>
                <w:sz w:val="22"/>
                <w:szCs w:val="22"/>
                <w:lang w:val="en-GB"/>
              </w:rPr>
              <w:t>8.58%</w:t>
            </w:r>
          </w:p>
        </w:tc>
        <w:tc>
          <w:tcPr>
            <w:tcW w:w="923" w:type="pct"/>
            <w:tcBorders>
              <w:bottom w:val="single" w:sz="4" w:space="0" w:color="auto"/>
            </w:tcBorders>
            <w:vAlign w:val="center"/>
          </w:tcPr>
          <w:p w:rsidR="000554E8" w:rsidRPr="00C66B91" w:rsidRDefault="000554E8" w:rsidP="000554E8">
            <w:pPr>
              <w:ind w:right="-28"/>
              <w:jc w:val="right"/>
              <w:rPr>
                <w:sz w:val="22"/>
                <w:szCs w:val="22"/>
                <w:lang w:val="en-GB"/>
              </w:rPr>
            </w:pPr>
            <w:r w:rsidRPr="00C66B91">
              <w:rPr>
                <w:sz w:val="22"/>
                <w:szCs w:val="22"/>
                <w:lang w:val="en-GB"/>
              </w:rPr>
              <w:t>457,573</w:t>
            </w:r>
          </w:p>
        </w:tc>
        <w:tc>
          <w:tcPr>
            <w:tcW w:w="710" w:type="pct"/>
            <w:tcBorders>
              <w:bottom w:val="single" w:sz="4" w:space="0" w:color="auto"/>
            </w:tcBorders>
            <w:vAlign w:val="center"/>
          </w:tcPr>
          <w:p w:rsidR="000554E8" w:rsidRPr="00C66B91" w:rsidRDefault="000554E8" w:rsidP="000554E8">
            <w:pPr>
              <w:ind w:right="113"/>
              <w:jc w:val="right"/>
              <w:rPr>
                <w:sz w:val="22"/>
                <w:szCs w:val="22"/>
                <w:lang w:val="en-GB"/>
              </w:rPr>
            </w:pPr>
            <w:r w:rsidRPr="00C66B91">
              <w:rPr>
                <w:sz w:val="22"/>
                <w:szCs w:val="22"/>
                <w:lang w:val="en-GB"/>
              </w:rPr>
              <w:t>8.58%</w:t>
            </w:r>
          </w:p>
        </w:tc>
      </w:tr>
      <w:tr w:rsidR="000554E8" w:rsidRPr="00C66B91" w:rsidTr="00C46C22">
        <w:trPr>
          <w:trHeight w:val="227"/>
        </w:trPr>
        <w:tc>
          <w:tcPr>
            <w:tcW w:w="1732" w:type="pct"/>
          </w:tcPr>
          <w:p w:rsidR="000554E8" w:rsidRPr="005E30E6" w:rsidRDefault="000554E8" w:rsidP="000554E8">
            <w:pPr>
              <w:jc w:val="right"/>
              <w:rPr>
                <w:b/>
                <w:sz w:val="22"/>
                <w:szCs w:val="22"/>
              </w:rPr>
            </w:pPr>
            <w:r w:rsidRPr="005E30E6">
              <w:rPr>
                <w:b/>
                <w:sz w:val="22"/>
                <w:szCs w:val="22"/>
              </w:rPr>
              <w:t>Total</w:t>
            </w:r>
          </w:p>
        </w:tc>
        <w:tc>
          <w:tcPr>
            <w:tcW w:w="942" w:type="pct"/>
            <w:tcBorders>
              <w:top w:val="single" w:sz="4" w:space="0" w:color="auto"/>
              <w:bottom w:val="double" w:sz="4" w:space="0" w:color="auto"/>
            </w:tcBorders>
            <w:vAlign w:val="center"/>
          </w:tcPr>
          <w:p w:rsidR="000554E8" w:rsidRPr="00C66B91" w:rsidRDefault="000554E8" w:rsidP="000554E8">
            <w:pPr>
              <w:ind w:right="-41"/>
              <w:jc w:val="right"/>
              <w:rPr>
                <w:b/>
                <w:sz w:val="22"/>
                <w:szCs w:val="22"/>
                <w:lang w:val="en-GB"/>
              </w:rPr>
            </w:pPr>
            <w:r w:rsidRPr="00C66B91">
              <w:rPr>
                <w:b/>
                <w:sz w:val="22"/>
                <w:szCs w:val="22"/>
                <w:lang w:val="en-GB"/>
              </w:rPr>
              <w:t>5,335,919</w:t>
            </w:r>
          </w:p>
        </w:tc>
        <w:tc>
          <w:tcPr>
            <w:tcW w:w="693" w:type="pct"/>
            <w:tcBorders>
              <w:top w:val="single" w:sz="4" w:space="0" w:color="auto"/>
              <w:bottom w:val="double" w:sz="4" w:space="0" w:color="auto"/>
            </w:tcBorders>
            <w:vAlign w:val="center"/>
          </w:tcPr>
          <w:p w:rsidR="000554E8" w:rsidRPr="00C66B91" w:rsidRDefault="000554E8" w:rsidP="000554E8">
            <w:pPr>
              <w:jc w:val="right"/>
              <w:rPr>
                <w:b/>
                <w:sz w:val="22"/>
                <w:szCs w:val="22"/>
                <w:lang w:val="en-GB"/>
              </w:rPr>
            </w:pPr>
            <w:r w:rsidRPr="00C66B91">
              <w:rPr>
                <w:b/>
                <w:sz w:val="22"/>
                <w:szCs w:val="22"/>
                <w:lang w:val="en-GB"/>
              </w:rPr>
              <w:t>100.00%</w:t>
            </w:r>
          </w:p>
        </w:tc>
        <w:tc>
          <w:tcPr>
            <w:tcW w:w="923" w:type="pct"/>
            <w:tcBorders>
              <w:top w:val="single" w:sz="4" w:space="0" w:color="auto"/>
              <w:bottom w:val="double" w:sz="4" w:space="0" w:color="auto"/>
            </w:tcBorders>
            <w:vAlign w:val="center"/>
          </w:tcPr>
          <w:p w:rsidR="000554E8" w:rsidRPr="00C66B91" w:rsidRDefault="000554E8" w:rsidP="000554E8">
            <w:pPr>
              <w:ind w:right="-28"/>
              <w:jc w:val="right"/>
              <w:rPr>
                <w:b/>
                <w:sz w:val="22"/>
                <w:szCs w:val="22"/>
                <w:lang w:val="en-GB"/>
              </w:rPr>
            </w:pPr>
            <w:r w:rsidRPr="00C66B91">
              <w:rPr>
                <w:b/>
                <w:sz w:val="22"/>
                <w:szCs w:val="22"/>
                <w:lang w:val="en-GB"/>
              </w:rPr>
              <w:t>5,335,919</w:t>
            </w:r>
          </w:p>
        </w:tc>
        <w:tc>
          <w:tcPr>
            <w:tcW w:w="710" w:type="pct"/>
            <w:tcBorders>
              <w:top w:val="single" w:sz="4" w:space="0" w:color="auto"/>
              <w:bottom w:val="double" w:sz="4" w:space="0" w:color="auto"/>
            </w:tcBorders>
            <w:vAlign w:val="center"/>
          </w:tcPr>
          <w:p w:rsidR="000554E8" w:rsidRPr="00C66B91" w:rsidRDefault="000554E8" w:rsidP="000554E8">
            <w:pPr>
              <w:ind w:right="113"/>
              <w:jc w:val="right"/>
              <w:rPr>
                <w:b/>
                <w:sz w:val="22"/>
                <w:szCs w:val="22"/>
                <w:lang w:val="en-GB"/>
              </w:rPr>
            </w:pPr>
            <w:r w:rsidRPr="00C66B91">
              <w:rPr>
                <w:b/>
                <w:sz w:val="22"/>
                <w:szCs w:val="22"/>
                <w:lang w:val="en-GB"/>
              </w:rPr>
              <w:t>100.00%</w:t>
            </w:r>
          </w:p>
        </w:tc>
      </w:tr>
    </w:tbl>
    <w:p w:rsidR="00EE3CD4" w:rsidRPr="00C66B91" w:rsidRDefault="00EE3CD4" w:rsidP="00E922D1">
      <w:pPr>
        <w:ind w:right="-75"/>
        <w:jc w:val="both"/>
        <w:rPr>
          <w:b/>
          <w:sz w:val="22"/>
          <w:szCs w:val="22"/>
          <w:lang w:val="en-GB"/>
        </w:rPr>
      </w:pPr>
    </w:p>
    <w:p w:rsidR="00E922D1" w:rsidRDefault="007566D9" w:rsidP="00E922D1">
      <w:pPr>
        <w:numPr>
          <w:ilvl w:val="12"/>
          <w:numId w:val="0"/>
        </w:numPr>
        <w:ind w:right="-75"/>
        <w:jc w:val="both"/>
        <w:rPr>
          <w:b/>
          <w:sz w:val="22"/>
          <w:szCs w:val="22"/>
          <w:lang w:val="en-GB"/>
        </w:rPr>
      </w:pPr>
      <w:r w:rsidRPr="007566D9">
        <w:rPr>
          <w:b/>
          <w:sz w:val="22"/>
          <w:szCs w:val="22"/>
          <w:lang w:val="en-GB"/>
        </w:rPr>
        <w:t>9.2 STATUTORY RESERVES</w:t>
      </w:r>
    </w:p>
    <w:p w:rsidR="007566D9" w:rsidRPr="00C66B91" w:rsidRDefault="007566D9" w:rsidP="00E922D1">
      <w:pPr>
        <w:numPr>
          <w:ilvl w:val="12"/>
          <w:numId w:val="0"/>
        </w:numPr>
        <w:ind w:right="-75"/>
        <w:jc w:val="both"/>
        <w:rPr>
          <w:sz w:val="22"/>
          <w:szCs w:val="22"/>
          <w:lang w:val="en-GB"/>
        </w:rPr>
      </w:pPr>
    </w:p>
    <w:tbl>
      <w:tblPr>
        <w:tblW w:w="4909" w:type="pct"/>
        <w:tblLook w:val="0000" w:firstRow="0" w:lastRow="0" w:firstColumn="0" w:lastColumn="0" w:noHBand="0" w:noVBand="0"/>
      </w:tblPr>
      <w:tblGrid>
        <w:gridCol w:w="5788"/>
        <w:gridCol w:w="1569"/>
        <w:gridCol w:w="1567"/>
      </w:tblGrid>
      <w:tr w:rsidR="008C46AC" w:rsidRPr="00C66B91" w:rsidTr="008C46AC">
        <w:trPr>
          <w:trHeight w:val="285"/>
        </w:trPr>
        <w:tc>
          <w:tcPr>
            <w:tcW w:w="3243" w:type="pct"/>
            <w:tcBorders>
              <w:top w:val="nil"/>
              <w:left w:val="nil"/>
              <w:bottom w:val="nil"/>
              <w:right w:val="nil"/>
            </w:tcBorders>
          </w:tcPr>
          <w:p w:rsidR="008C46AC" w:rsidRPr="00C66B91" w:rsidRDefault="008C46AC" w:rsidP="008C46AC">
            <w:pPr>
              <w:rPr>
                <w:b/>
                <w:lang w:val="en-GB"/>
              </w:rPr>
            </w:pPr>
          </w:p>
        </w:tc>
        <w:tc>
          <w:tcPr>
            <w:tcW w:w="879" w:type="pct"/>
            <w:tcBorders>
              <w:left w:val="nil"/>
              <w:bottom w:val="nil"/>
              <w:right w:val="nil"/>
            </w:tcBorders>
            <w:vAlign w:val="center"/>
          </w:tcPr>
          <w:p w:rsidR="008C46AC" w:rsidRPr="00C66B91" w:rsidRDefault="008A588E" w:rsidP="008C46AC">
            <w:pPr>
              <w:pBdr>
                <w:bottom w:val="single" w:sz="4" w:space="1" w:color="auto"/>
              </w:pBdr>
              <w:autoSpaceDE w:val="0"/>
              <w:autoSpaceDN w:val="0"/>
              <w:adjustRightInd w:val="0"/>
              <w:jc w:val="center"/>
              <w:rPr>
                <w:b/>
                <w:lang w:val="en-GB"/>
              </w:rPr>
            </w:pPr>
            <w:r w:rsidRPr="00C66B91">
              <w:rPr>
                <w:b/>
                <w:sz w:val="22"/>
                <w:szCs w:val="22"/>
                <w:lang w:val="en-GB"/>
              </w:rPr>
              <w:t>30.06</w:t>
            </w:r>
            <w:r w:rsidR="008C46AC" w:rsidRPr="00C66B91">
              <w:rPr>
                <w:b/>
                <w:sz w:val="22"/>
                <w:szCs w:val="22"/>
                <w:lang w:val="en-GB"/>
              </w:rPr>
              <w:t>.2015</w:t>
            </w:r>
          </w:p>
          <w:p w:rsidR="008C46AC" w:rsidRPr="00C66B91" w:rsidRDefault="008C46AC" w:rsidP="008C46AC">
            <w:pPr>
              <w:autoSpaceDE w:val="0"/>
              <w:autoSpaceDN w:val="0"/>
              <w:adjustRightInd w:val="0"/>
              <w:jc w:val="center"/>
              <w:rPr>
                <w:b/>
                <w:lang w:val="en-GB"/>
              </w:rPr>
            </w:pPr>
            <w:r w:rsidRPr="00C66B91">
              <w:rPr>
                <w:b/>
                <w:sz w:val="22"/>
                <w:szCs w:val="22"/>
                <w:lang w:val="en-GB"/>
              </w:rPr>
              <w:t>BGN’000</w:t>
            </w:r>
          </w:p>
        </w:tc>
        <w:tc>
          <w:tcPr>
            <w:tcW w:w="878" w:type="pct"/>
            <w:tcBorders>
              <w:left w:val="nil"/>
              <w:bottom w:val="nil"/>
              <w:right w:val="nil"/>
            </w:tcBorders>
            <w:vAlign w:val="center"/>
          </w:tcPr>
          <w:p w:rsidR="008C46AC" w:rsidRPr="00C66B91" w:rsidRDefault="008C46AC" w:rsidP="008C46AC">
            <w:pPr>
              <w:pBdr>
                <w:bottom w:val="single" w:sz="4" w:space="1" w:color="auto"/>
              </w:pBdr>
              <w:autoSpaceDE w:val="0"/>
              <w:autoSpaceDN w:val="0"/>
              <w:adjustRightInd w:val="0"/>
              <w:jc w:val="center"/>
              <w:rPr>
                <w:b/>
                <w:lang w:val="en-GB"/>
              </w:rPr>
            </w:pPr>
            <w:r w:rsidRPr="00C66B91">
              <w:rPr>
                <w:b/>
                <w:sz w:val="22"/>
                <w:szCs w:val="22"/>
                <w:lang w:val="en-GB"/>
              </w:rPr>
              <w:t>31.12.2014</w:t>
            </w:r>
          </w:p>
          <w:p w:rsidR="008C46AC" w:rsidRPr="00C66B91" w:rsidRDefault="008C46AC" w:rsidP="008C46AC">
            <w:pPr>
              <w:autoSpaceDE w:val="0"/>
              <w:autoSpaceDN w:val="0"/>
              <w:adjustRightInd w:val="0"/>
              <w:jc w:val="center"/>
              <w:rPr>
                <w:b/>
                <w:lang w:val="en-GB"/>
              </w:rPr>
            </w:pPr>
            <w:r w:rsidRPr="00C66B91">
              <w:rPr>
                <w:b/>
                <w:sz w:val="22"/>
                <w:szCs w:val="22"/>
                <w:lang w:val="en-GB"/>
              </w:rPr>
              <w:t>BGN’000</w:t>
            </w:r>
          </w:p>
        </w:tc>
      </w:tr>
      <w:tr w:rsidR="008C46AC" w:rsidRPr="00C66B91" w:rsidTr="008C46AC">
        <w:trPr>
          <w:trHeight w:val="285"/>
        </w:trPr>
        <w:tc>
          <w:tcPr>
            <w:tcW w:w="3243" w:type="pct"/>
            <w:tcBorders>
              <w:top w:val="nil"/>
              <w:left w:val="nil"/>
              <w:bottom w:val="nil"/>
              <w:right w:val="nil"/>
            </w:tcBorders>
          </w:tcPr>
          <w:p w:rsidR="008C46AC" w:rsidRPr="00C66B91" w:rsidRDefault="008C46AC" w:rsidP="008C46AC">
            <w:pPr>
              <w:rPr>
                <w:lang w:val="en-GB"/>
              </w:rPr>
            </w:pPr>
          </w:p>
        </w:tc>
        <w:tc>
          <w:tcPr>
            <w:tcW w:w="879" w:type="pct"/>
            <w:tcBorders>
              <w:left w:val="nil"/>
              <w:bottom w:val="nil"/>
              <w:right w:val="nil"/>
            </w:tcBorders>
            <w:tcMar>
              <w:right w:w="284" w:type="dxa"/>
            </w:tcMar>
            <w:vAlign w:val="center"/>
          </w:tcPr>
          <w:p w:rsidR="008C46AC" w:rsidRPr="00C66B91" w:rsidRDefault="008C46AC" w:rsidP="008C46AC">
            <w:pPr>
              <w:jc w:val="right"/>
              <w:rPr>
                <w:lang w:val="en-GB"/>
              </w:rPr>
            </w:pPr>
          </w:p>
        </w:tc>
        <w:tc>
          <w:tcPr>
            <w:tcW w:w="878" w:type="pct"/>
            <w:tcBorders>
              <w:left w:val="nil"/>
              <w:bottom w:val="nil"/>
              <w:right w:val="nil"/>
            </w:tcBorders>
            <w:vAlign w:val="center"/>
          </w:tcPr>
          <w:p w:rsidR="008C46AC" w:rsidRPr="00C66B91" w:rsidRDefault="008C46AC" w:rsidP="008C46AC">
            <w:pPr>
              <w:jc w:val="right"/>
              <w:rPr>
                <w:lang w:val="en-GB"/>
              </w:rPr>
            </w:pPr>
          </w:p>
        </w:tc>
      </w:tr>
      <w:tr w:rsidR="007566D9" w:rsidRPr="00C66B91" w:rsidTr="008C46AC">
        <w:trPr>
          <w:trHeight w:val="285"/>
        </w:trPr>
        <w:tc>
          <w:tcPr>
            <w:tcW w:w="3243" w:type="pct"/>
            <w:tcBorders>
              <w:top w:val="nil"/>
              <w:left w:val="nil"/>
              <w:bottom w:val="nil"/>
              <w:right w:val="nil"/>
            </w:tcBorders>
            <w:vAlign w:val="center"/>
          </w:tcPr>
          <w:p w:rsidR="007566D9" w:rsidRPr="005E30E6" w:rsidRDefault="007566D9" w:rsidP="007566D9">
            <w:pPr>
              <w:rPr>
                <w:b/>
              </w:rPr>
            </w:pPr>
            <w:r w:rsidRPr="005E30E6">
              <w:rPr>
                <w:sz w:val="22"/>
                <w:szCs w:val="22"/>
              </w:rPr>
              <w:t>Statutory reserves</w:t>
            </w:r>
          </w:p>
        </w:tc>
        <w:tc>
          <w:tcPr>
            <w:tcW w:w="879" w:type="pct"/>
            <w:tcBorders>
              <w:left w:val="nil"/>
              <w:bottom w:val="nil"/>
              <w:right w:val="nil"/>
            </w:tcBorders>
            <w:tcMar>
              <w:right w:w="284" w:type="dxa"/>
            </w:tcMar>
            <w:vAlign w:val="center"/>
          </w:tcPr>
          <w:p w:rsidR="007566D9" w:rsidRPr="00C66B91" w:rsidRDefault="007566D9" w:rsidP="007566D9">
            <w:pPr>
              <w:jc w:val="right"/>
              <w:rPr>
                <w:color w:val="000000"/>
                <w:sz w:val="22"/>
                <w:szCs w:val="22"/>
                <w:lang w:val="en-GB"/>
              </w:rPr>
            </w:pPr>
            <w:r w:rsidRPr="00C66B91">
              <w:rPr>
                <w:color w:val="000000"/>
                <w:sz w:val="22"/>
                <w:szCs w:val="22"/>
                <w:lang w:val="en-GB"/>
              </w:rPr>
              <w:t>533</w:t>
            </w:r>
          </w:p>
        </w:tc>
        <w:tc>
          <w:tcPr>
            <w:tcW w:w="878" w:type="pct"/>
            <w:tcBorders>
              <w:left w:val="nil"/>
              <w:bottom w:val="nil"/>
              <w:right w:val="nil"/>
            </w:tcBorders>
            <w:vAlign w:val="center"/>
          </w:tcPr>
          <w:p w:rsidR="007566D9" w:rsidRPr="00C66B91" w:rsidRDefault="007566D9" w:rsidP="007566D9">
            <w:pPr>
              <w:jc w:val="right"/>
              <w:rPr>
                <w:color w:val="000000"/>
                <w:sz w:val="22"/>
                <w:szCs w:val="22"/>
                <w:lang w:val="en-GB"/>
              </w:rPr>
            </w:pPr>
            <w:r w:rsidRPr="00C66B91">
              <w:rPr>
                <w:color w:val="000000"/>
                <w:sz w:val="22"/>
                <w:szCs w:val="22"/>
                <w:lang w:val="en-GB"/>
              </w:rPr>
              <w:t>448</w:t>
            </w:r>
          </w:p>
        </w:tc>
      </w:tr>
      <w:tr w:rsidR="007566D9" w:rsidRPr="00C66B91" w:rsidTr="008C46AC">
        <w:trPr>
          <w:trHeight w:val="285"/>
        </w:trPr>
        <w:tc>
          <w:tcPr>
            <w:tcW w:w="3243" w:type="pct"/>
            <w:tcBorders>
              <w:top w:val="nil"/>
              <w:left w:val="nil"/>
              <w:bottom w:val="nil"/>
              <w:right w:val="nil"/>
            </w:tcBorders>
            <w:vAlign w:val="center"/>
          </w:tcPr>
          <w:p w:rsidR="007566D9" w:rsidRPr="005E30E6" w:rsidRDefault="007566D9" w:rsidP="007566D9">
            <w:pPr>
              <w:rPr>
                <w:sz w:val="22"/>
                <w:szCs w:val="22"/>
              </w:rPr>
            </w:pPr>
            <w:r w:rsidRPr="005E30E6">
              <w:rPr>
                <w:sz w:val="22"/>
                <w:szCs w:val="22"/>
              </w:rPr>
              <w:t>Other reserves</w:t>
            </w:r>
          </w:p>
        </w:tc>
        <w:tc>
          <w:tcPr>
            <w:tcW w:w="879" w:type="pct"/>
            <w:tcBorders>
              <w:left w:val="nil"/>
              <w:bottom w:val="nil"/>
              <w:right w:val="nil"/>
            </w:tcBorders>
            <w:tcMar>
              <w:right w:w="284" w:type="dxa"/>
            </w:tcMar>
            <w:vAlign w:val="center"/>
          </w:tcPr>
          <w:p w:rsidR="007566D9" w:rsidRPr="00C66B91" w:rsidRDefault="007566D9" w:rsidP="007566D9">
            <w:pPr>
              <w:jc w:val="right"/>
              <w:rPr>
                <w:color w:val="000000"/>
                <w:sz w:val="22"/>
                <w:szCs w:val="22"/>
                <w:lang w:val="en-GB"/>
              </w:rPr>
            </w:pPr>
            <w:r w:rsidRPr="00C66B91">
              <w:rPr>
                <w:color w:val="000000"/>
                <w:sz w:val="22"/>
                <w:szCs w:val="22"/>
                <w:lang w:val="en-GB"/>
              </w:rPr>
              <w:t>11</w:t>
            </w:r>
          </w:p>
        </w:tc>
        <w:tc>
          <w:tcPr>
            <w:tcW w:w="878" w:type="pct"/>
            <w:tcBorders>
              <w:left w:val="nil"/>
              <w:bottom w:val="nil"/>
              <w:right w:val="nil"/>
            </w:tcBorders>
            <w:vAlign w:val="center"/>
          </w:tcPr>
          <w:p w:rsidR="007566D9" w:rsidRPr="00C66B91" w:rsidRDefault="007566D9" w:rsidP="007566D9">
            <w:pPr>
              <w:jc w:val="right"/>
              <w:rPr>
                <w:color w:val="000000"/>
                <w:sz w:val="22"/>
                <w:szCs w:val="22"/>
                <w:lang w:val="en-GB"/>
              </w:rPr>
            </w:pPr>
            <w:r w:rsidRPr="00C66B91">
              <w:rPr>
                <w:color w:val="000000"/>
                <w:sz w:val="22"/>
                <w:szCs w:val="22"/>
                <w:lang w:val="en-GB"/>
              </w:rPr>
              <w:t>-</w:t>
            </w:r>
          </w:p>
        </w:tc>
      </w:tr>
      <w:tr w:rsidR="007566D9" w:rsidRPr="00C66B91" w:rsidTr="008C46AC">
        <w:trPr>
          <w:trHeight w:val="285"/>
        </w:trPr>
        <w:tc>
          <w:tcPr>
            <w:tcW w:w="3243" w:type="pct"/>
            <w:tcBorders>
              <w:top w:val="nil"/>
              <w:left w:val="nil"/>
              <w:bottom w:val="nil"/>
              <w:right w:val="nil"/>
            </w:tcBorders>
            <w:vAlign w:val="center"/>
          </w:tcPr>
          <w:p w:rsidR="007566D9" w:rsidRPr="005E30E6" w:rsidRDefault="007566D9" w:rsidP="007566D9">
            <w:pPr>
              <w:jc w:val="right"/>
            </w:pPr>
            <w:r w:rsidRPr="005E30E6">
              <w:rPr>
                <w:b/>
                <w:sz w:val="22"/>
                <w:szCs w:val="22"/>
              </w:rPr>
              <w:t xml:space="preserve">Total </w:t>
            </w:r>
          </w:p>
        </w:tc>
        <w:tc>
          <w:tcPr>
            <w:tcW w:w="879" w:type="pct"/>
            <w:tcBorders>
              <w:top w:val="single" w:sz="4" w:space="0" w:color="auto"/>
              <w:left w:val="nil"/>
              <w:bottom w:val="double" w:sz="6" w:space="0" w:color="auto"/>
              <w:right w:val="nil"/>
            </w:tcBorders>
            <w:tcMar>
              <w:right w:w="284" w:type="dxa"/>
            </w:tcMar>
            <w:vAlign w:val="center"/>
          </w:tcPr>
          <w:p w:rsidR="007566D9" w:rsidRPr="00C66B91" w:rsidRDefault="007566D9" w:rsidP="007566D9">
            <w:pPr>
              <w:jc w:val="right"/>
              <w:rPr>
                <w:b/>
                <w:color w:val="000000"/>
                <w:lang w:val="en-GB"/>
              </w:rPr>
            </w:pPr>
            <w:r w:rsidRPr="00C66B91">
              <w:rPr>
                <w:b/>
                <w:color w:val="000000"/>
                <w:lang w:val="en-GB"/>
              </w:rPr>
              <w:t>544</w:t>
            </w:r>
          </w:p>
        </w:tc>
        <w:tc>
          <w:tcPr>
            <w:tcW w:w="878" w:type="pct"/>
            <w:tcBorders>
              <w:top w:val="single" w:sz="4" w:space="0" w:color="auto"/>
              <w:left w:val="nil"/>
              <w:bottom w:val="double" w:sz="6" w:space="0" w:color="auto"/>
              <w:right w:val="nil"/>
            </w:tcBorders>
            <w:vAlign w:val="center"/>
          </w:tcPr>
          <w:p w:rsidR="007566D9" w:rsidRPr="00C66B91" w:rsidRDefault="007566D9" w:rsidP="007566D9">
            <w:pPr>
              <w:jc w:val="right"/>
              <w:rPr>
                <w:b/>
                <w:color w:val="000000"/>
                <w:lang w:val="en-GB"/>
              </w:rPr>
            </w:pPr>
            <w:r w:rsidRPr="00C66B91">
              <w:rPr>
                <w:b/>
                <w:color w:val="000000"/>
                <w:lang w:val="en-GB"/>
              </w:rPr>
              <w:t>448</w:t>
            </w:r>
          </w:p>
        </w:tc>
      </w:tr>
    </w:tbl>
    <w:p w:rsidR="00E922D1" w:rsidRPr="00C66B91" w:rsidRDefault="00E922D1" w:rsidP="00E922D1">
      <w:pPr>
        <w:numPr>
          <w:ilvl w:val="12"/>
          <w:numId w:val="0"/>
        </w:numPr>
        <w:ind w:right="-75"/>
        <w:jc w:val="both"/>
        <w:rPr>
          <w:sz w:val="22"/>
          <w:szCs w:val="22"/>
          <w:lang w:val="en-GB"/>
        </w:rPr>
      </w:pPr>
    </w:p>
    <w:p w:rsidR="00E922D1" w:rsidRDefault="007566D9" w:rsidP="00E922D1">
      <w:pPr>
        <w:numPr>
          <w:ilvl w:val="12"/>
          <w:numId w:val="0"/>
        </w:numPr>
        <w:ind w:right="-75"/>
        <w:jc w:val="both"/>
        <w:rPr>
          <w:sz w:val="22"/>
          <w:szCs w:val="22"/>
          <w:lang w:val="en-GB"/>
        </w:rPr>
      </w:pPr>
      <w:r w:rsidRPr="007566D9">
        <w:rPr>
          <w:sz w:val="22"/>
          <w:szCs w:val="22"/>
          <w:lang w:val="en-GB"/>
        </w:rPr>
        <w:t>The statutory reserves are formed as a result of the setting aside of 10% of the residual profit in accordance with the requirements of the Commercial Act and decision of the General Meeting of the shareholders of the Parent Company. Pursuant to the legal requirements, the statutory reserve shall reach at least 10% of the value of the registered capital. These reserves may not be distributed.</w:t>
      </w:r>
    </w:p>
    <w:p w:rsidR="007566D9" w:rsidRPr="00C66B91" w:rsidRDefault="007566D9" w:rsidP="00E922D1">
      <w:pPr>
        <w:numPr>
          <w:ilvl w:val="12"/>
          <w:numId w:val="0"/>
        </w:numPr>
        <w:ind w:right="-75"/>
        <w:jc w:val="both"/>
        <w:rPr>
          <w:sz w:val="22"/>
          <w:szCs w:val="22"/>
          <w:lang w:val="en-GB"/>
        </w:rPr>
      </w:pPr>
    </w:p>
    <w:p w:rsidR="00E922D1" w:rsidRPr="00C66B91" w:rsidRDefault="00E922D1" w:rsidP="00E922D1">
      <w:pPr>
        <w:ind w:right="-75"/>
        <w:jc w:val="both"/>
        <w:rPr>
          <w:b/>
          <w:sz w:val="22"/>
          <w:szCs w:val="22"/>
          <w:lang w:val="en-GB"/>
        </w:rPr>
      </w:pPr>
      <w:r w:rsidRPr="00C66B91">
        <w:rPr>
          <w:b/>
          <w:sz w:val="22"/>
          <w:szCs w:val="22"/>
          <w:lang w:val="en-GB"/>
        </w:rPr>
        <w:t xml:space="preserve">9.3 </w:t>
      </w:r>
      <w:r w:rsidR="007566D9">
        <w:rPr>
          <w:b/>
          <w:sz w:val="22"/>
          <w:szCs w:val="22"/>
          <w:lang w:val="en-GB"/>
        </w:rPr>
        <w:t>PREMIUM RESERVES</w:t>
      </w:r>
    </w:p>
    <w:p w:rsidR="00E922D1" w:rsidRPr="00C66B91" w:rsidRDefault="00E922D1" w:rsidP="00E922D1">
      <w:pPr>
        <w:numPr>
          <w:ilvl w:val="12"/>
          <w:numId w:val="0"/>
        </w:numPr>
        <w:ind w:right="-75"/>
        <w:jc w:val="both"/>
        <w:rPr>
          <w:sz w:val="22"/>
          <w:szCs w:val="22"/>
          <w:lang w:val="en-GB"/>
        </w:rPr>
      </w:pPr>
    </w:p>
    <w:tbl>
      <w:tblPr>
        <w:tblW w:w="4909" w:type="pct"/>
        <w:tblLook w:val="0000" w:firstRow="0" w:lastRow="0" w:firstColumn="0" w:lastColumn="0" w:noHBand="0" w:noVBand="0"/>
      </w:tblPr>
      <w:tblGrid>
        <w:gridCol w:w="5788"/>
        <w:gridCol w:w="1569"/>
        <w:gridCol w:w="1567"/>
      </w:tblGrid>
      <w:tr w:rsidR="008C46AC" w:rsidRPr="00C66B91" w:rsidTr="008C46AC">
        <w:trPr>
          <w:trHeight w:val="285"/>
        </w:trPr>
        <w:tc>
          <w:tcPr>
            <w:tcW w:w="3243" w:type="pct"/>
            <w:tcBorders>
              <w:top w:val="nil"/>
              <w:left w:val="nil"/>
              <w:bottom w:val="nil"/>
              <w:right w:val="nil"/>
            </w:tcBorders>
          </w:tcPr>
          <w:p w:rsidR="008C46AC" w:rsidRPr="00C66B91" w:rsidRDefault="008C46AC" w:rsidP="008C46AC">
            <w:pPr>
              <w:rPr>
                <w:b/>
                <w:lang w:val="en-GB"/>
              </w:rPr>
            </w:pPr>
          </w:p>
        </w:tc>
        <w:tc>
          <w:tcPr>
            <w:tcW w:w="879" w:type="pct"/>
            <w:tcBorders>
              <w:left w:val="nil"/>
              <w:bottom w:val="nil"/>
              <w:right w:val="nil"/>
            </w:tcBorders>
            <w:vAlign w:val="center"/>
          </w:tcPr>
          <w:p w:rsidR="008C46AC" w:rsidRPr="00C66B91" w:rsidRDefault="008A588E" w:rsidP="008C46AC">
            <w:pPr>
              <w:pBdr>
                <w:bottom w:val="single" w:sz="4" w:space="1" w:color="auto"/>
              </w:pBdr>
              <w:autoSpaceDE w:val="0"/>
              <w:autoSpaceDN w:val="0"/>
              <w:adjustRightInd w:val="0"/>
              <w:jc w:val="center"/>
              <w:rPr>
                <w:b/>
                <w:lang w:val="en-GB"/>
              </w:rPr>
            </w:pPr>
            <w:r w:rsidRPr="00C66B91">
              <w:rPr>
                <w:b/>
                <w:sz w:val="22"/>
                <w:szCs w:val="22"/>
                <w:lang w:val="en-GB"/>
              </w:rPr>
              <w:t>30.06</w:t>
            </w:r>
            <w:r w:rsidR="008C46AC" w:rsidRPr="00C66B91">
              <w:rPr>
                <w:b/>
                <w:sz w:val="22"/>
                <w:szCs w:val="22"/>
                <w:lang w:val="en-GB"/>
              </w:rPr>
              <w:t>.2015</w:t>
            </w:r>
          </w:p>
          <w:p w:rsidR="008C46AC" w:rsidRPr="00C66B91" w:rsidRDefault="008C46AC" w:rsidP="008C46AC">
            <w:pPr>
              <w:autoSpaceDE w:val="0"/>
              <w:autoSpaceDN w:val="0"/>
              <w:adjustRightInd w:val="0"/>
              <w:jc w:val="center"/>
              <w:rPr>
                <w:b/>
                <w:lang w:val="en-GB"/>
              </w:rPr>
            </w:pPr>
            <w:r w:rsidRPr="00C66B91">
              <w:rPr>
                <w:b/>
                <w:sz w:val="22"/>
                <w:szCs w:val="22"/>
                <w:lang w:val="en-GB"/>
              </w:rPr>
              <w:t>BGN’000</w:t>
            </w:r>
          </w:p>
        </w:tc>
        <w:tc>
          <w:tcPr>
            <w:tcW w:w="878" w:type="pct"/>
            <w:tcBorders>
              <w:left w:val="nil"/>
              <w:bottom w:val="nil"/>
              <w:right w:val="nil"/>
            </w:tcBorders>
            <w:vAlign w:val="center"/>
          </w:tcPr>
          <w:p w:rsidR="008C46AC" w:rsidRPr="00C66B91" w:rsidRDefault="008C46AC" w:rsidP="008C46AC">
            <w:pPr>
              <w:pBdr>
                <w:bottom w:val="single" w:sz="4" w:space="1" w:color="auto"/>
              </w:pBdr>
              <w:autoSpaceDE w:val="0"/>
              <w:autoSpaceDN w:val="0"/>
              <w:adjustRightInd w:val="0"/>
              <w:jc w:val="center"/>
              <w:rPr>
                <w:b/>
                <w:lang w:val="en-GB"/>
              </w:rPr>
            </w:pPr>
            <w:r w:rsidRPr="00C66B91">
              <w:rPr>
                <w:b/>
                <w:sz w:val="22"/>
                <w:szCs w:val="22"/>
                <w:lang w:val="en-GB"/>
              </w:rPr>
              <w:t>31.12.2014</w:t>
            </w:r>
          </w:p>
          <w:p w:rsidR="008C46AC" w:rsidRPr="00C66B91" w:rsidRDefault="008C46AC" w:rsidP="008C46AC">
            <w:pPr>
              <w:autoSpaceDE w:val="0"/>
              <w:autoSpaceDN w:val="0"/>
              <w:adjustRightInd w:val="0"/>
              <w:jc w:val="center"/>
              <w:rPr>
                <w:b/>
                <w:lang w:val="en-GB"/>
              </w:rPr>
            </w:pPr>
            <w:r w:rsidRPr="00C66B91">
              <w:rPr>
                <w:b/>
                <w:sz w:val="22"/>
                <w:szCs w:val="22"/>
                <w:lang w:val="en-GB"/>
              </w:rPr>
              <w:t>BGN’000</w:t>
            </w:r>
          </w:p>
        </w:tc>
      </w:tr>
      <w:tr w:rsidR="008C46AC" w:rsidRPr="00C66B91" w:rsidTr="008C46AC">
        <w:trPr>
          <w:trHeight w:val="285"/>
        </w:trPr>
        <w:tc>
          <w:tcPr>
            <w:tcW w:w="3243" w:type="pct"/>
            <w:tcBorders>
              <w:top w:val="nil"/>
              <w:left w:val="nil"/>
              <w:bottom w:val="nil"/>
              <w:right w:val="nil"/>
            </w:tcBorders>
          </w:tcPr>
          <w:p w:rsidR="008C46AC" w:rsidRPr="00C66B91" w:rsidRDefault="008C46AC" w:rsidP="008C46AC">
            <w:pPr>
              <w:rPr>
                <w:lang w:val="en-GB"/>
              </w:rPr>
            </w:pPr>
          </w:p>
        </w:tc>
        <w:tc>
          <w:tcPr>
            <w:tcW w:w="879" w:type="pct"/>
            <w:tcBorders>
              <w:left w:val="nil"/>
              <w:bottom w:val="nil"/>
              <w:right w:val="nil"/>
            </w:tcBorders>
            <w:tcMar>
              <w:right w:w="284" w:type="dxa"/>
            </w:tcMar>
            <w:vAlign w:val="center"/>
          </w:tcPr>
          <w:p w:rsidR="008C46AC" w:rsidRPr="00C66B91" w:rsidRDefault="008C46AC" w:rsidP="008C46AC">
            <w:pPr>
              <w:jc w:val="right"/>
              <w:rPr>
                <w:lang w:val="en-GB"/>
              </w:rPr>
            </w:pPr>
          </w:p>
        </w:tc>
        <w:tc>
          <w:tcPr>
            <w:tcW w:w="878" w:type="pct"/>
            <w:tcBorders>
              <w:left w:val="nil"/>
              <w:bottom w:val="nil"/>
              <w:right w:val="nil"/>
            </w:tcBorders>
            <w:vAlign w:val="center"/>
          </w:tcPr>
          <w:p w:rsidR="008C46AC" w:rsidRPr="00C66B91" w:rsidRDefault="008C46AC" w:rsidP="008C46AC">
            <w:pPr>
              <w:jc w:val="right"/>
              <w:rPr>
                <w:lang w:val="en-GB"/>
              </w:rPr>
            </w:pPr>
          </w:p>
        </w:tc>
      </w:tr>
      <w:tr w:rsidR="008C46AC" w:rsidRPr="00C66B91" w:rsidTr="008C46AC">
        <w:trPr>
          <w:trHeight w:val="285"/>
        </w:trPr>
        <w:tc>
          <w:tcPr>
            <w:tcW w:w="3243" w:type="pct"/>
            <w:tcBorders>
              <w:top w:val="nil"/>
              <w:left w:val="nil"/>
              <w:bottom w:val="nil"/>
              <w:right w:val="nil"/>
            </w:tcBorders>
            <w:vAlign w:val="center"/>
          </w:tcPr>
          <w:p w:rsidR="008C46AC" w:rsidRPr="00C66B91" w:rsidRDefault="007566D9" w:rsidP="008C46AC">
            <w:pPr>
              <w:rPr>
                <w:b/>
                <w:lang w:val="en-GB"/>
              </w:rPr>
            </w:pPr>
            <w:r w:rsidRPr="007566D9">
              <w:rPr>
                <w:sz w:val="22"/>
                <w:szCs w:val="22"/>
                <w:lang w:val="en-GB"/>
              </w:rPr>
              <w:t>Premium Reserves</w:t>
            </w:r>
          </w:p>
        </w:tc>
        <w:tc>
          <w:tcPr>
            <w:tcW w:w="879" w:type="pct"/>
            <w:tcBorders>
              <w:left w:val="nil"/>
              <w:bottom w:val="nil"/>
              <w:right w:val="nil"/>
            </w:tcBorders>
            <w:tcMar>
              <w:right w:w="284" w:type="dxa"/>
            </w:tcMar>
            <w:vAlign w:val="center"/>
          </w:tcPr>
          <w:p w:rsidR="008C46AC" w:rsidRPr="00C66B91" w:rsidRDefault="008C46AC" w:rsidP="008C46AC">
            <w:pPr>
              <w:jc w:val="right"/>
              <w:rPr>
                <w:color w:val="000000"/>
                <w:sz w:val="22"/>
                <w:szCs w:val="22"/>
                <w:lang w:val="en-GB"/>
              </w:rPr>
            </w:pPr>
            <w:r w:rsidRPr="00C66B91">
              <w:rPr>
                <w:color w:val="000000"/>
                <w:sz w:val="22"/>
                <w:szCs w:val="22"/>
                <w:lang w:val="en-GB"/>
              </w:rPr>
              <w:t>19,565</w:t>
            </w:r>
          </w:p>
        </w:tc>
        <w:tc>
          <w:tcPr>
            <w:tcW w:w="878" w:type="pct"/>
            <w:tcBorders>
              <w:left w:val="nil"/>
              <w:bottom w:val="nil"/>
              <w:right w:val="nil"/>
            </w:tcBorders>
            <w:vAlign w:val="center"/>
          </w:tcPr>
          <w:p w:rsidR="008C46AC" w:rsidRPr="00C66B91" w:rsidRDefault="008C46AC" w:rsidP="008C46AC">
            <w:pPr>
              <w:jc w:val="right"/>
              <w:rPr>
                <w:color w:val="000000"/>
                <w:sz w:val="22"/>
                <w:szCs w:val="22"/>
                <w:lang w:val="en-GB"/>
              </w:rPr>
            </w:pPr>
            <w:r w:rsidRPr="00C66B91">
              <w:rPr>
                <w:color w:val="000000"/>
                <w:sz w:val="22"/>
                <w:szCs w:val="22"/>
                <w:lang w:val="en-GB"/>
              </w:rPr>
              <w:t>19,565</w:t>
            </w:r>
          </w:p>
        </w:tc>
      </w:tr>
      <w:tr w:rsidR="008C46AC" w:rsidRPr="00C66B91" w:rsidTr="008C46AC">
        <w:trPr>
          <w:trHeight w:val="285"/>
        </w:trPr>
        <w:tc>
          <w:tcPr>
            <w:tcW w:w="3243" w:type="pct"/>
            <w:tcBorders>
              <w:top w:val="nil"/>
              <w:left w:val="nil"/>
              <w:bottom w:val="nil"/>
              <w:right w:val="nil"/>
            </w:tcBorders>
            <w:vAlign w:val="center"/>
          </w:tcPr>
          <w:p w:rsidR="008C46AC" w:rsidRPr="00C66B91" w:rsidRDefault="007566D9" w:rsidP="008C46AC">
            <w:pPr>
              <w:jc w:val="right"/>
              <w:rPr>
                <w:lang w:val="en-GB"/>
              </w:rPr>
            </w:pPr>
            <w:r>
              <w:rPr>
                <w:b/>
                <w:sz w:val="22"/>
                <w:szCs w:val="22"/>
                <w:lang w:val="en-GB"/>
              </w:rPr>
              <w:t>Total</w:t>
            </w:r>
          </w:p>
        </w:tc>
        <w:tc>
          <w:tcPr>
            <w:tcW w:w="879" w:type="pct"/>
            <w:tcBorders>
              <w:top w:val="single" w:sz="4" w:space="0" w:color="auto"/>
              <w:left w:val="nil"/>
              <w:bottom w:val="double" w:sz="6" w:space="0" w:color="auto"/>
              <w:right w:val="nil"/>
            </w:tcBorders>
            <w:tcMar>
              <w:right w:w="284" w:type="dxa"/>
            </w:tcMar>
            <w:vAlign w:val="center"/>
          </w:tcPr>
          <w:p w:rsidR="008C46AC" w:rsidRPr="00C66B91" w:rsidRDefault="008C46AC" w:rsidP="008C46AC">
            <w:pPr>
              <w:jc w:val="right"/>
              <w:rPr>
                <w:b/>
                <w:color w:val="000000"/>
                <w:sz w:val="22"/>
                <w:szCs w:val="22"/>
                <w:lang w:val="en-GB"/>
              </w:rPr>
            </w:pPr>
            <w:r w:rsidRPr="00C66B91">
              <w:rPr>
                <w:b/>
                <w:color w:val="000000"/>
                <w:sz w:val="22"/>
                <w:szCs w:val="22"/>
                <w:lang w:val="en-GB"/>
              </w:rPr>
              <w:t>19,565</w:t>
            </w:r>
          </w:p>
        </w:tc>
        <w:tc>
          <w:tcPr>
            <w:tcW w:w="878" w:type="pct"/>
            <w:tcBorders>
              <w:top w:val="single" w:sz="4" w:space="0" w:color="auto"/>
              <w:left w:val="nil"/>
              <w:bottom w:val="double" w:sz="6" w:space="0" w:color="auto"/>
              <w:right w:val="nil"/>
            </w:tcBorders>
            <w:vAlign w:val="center"/>
          </w:tcPr>
          <w:p w:rsidR="008C46AC" w:rsidRPr="00C66B91" w:rsidRDefault="008C46AC" w:rsidP="008C46AC">
            <w:pPr>
              <w:jc w:val="right"/>
              <w:rPr>
                <w:b/>
                <w:color w:val="000000"/>
                <w:sz w:val="22"/>
                <w:szCs w:val="22"/>
                <w:lang w:val="en-GB"/>
              </w:rPr>
            </w:pPr>
            <w:r w:rsidRPr="00C66B91">
              <w:rPr>
                <w:b/>
                <w:color w:val="000000"/>
                <w:sz w:val="22"/>
                <w:szCs w:val="22"/>
                <w:lang w:val="en-GB"/>
              </w:rPr>
              <w:t>19,565</w:t>
            </w:r>
          </w:p>
        </w:tc>
      </w:tr>
    </w:tbl>
    <w:p w:rsidR="00E922D1" w:rsidRPr="00C66B91" w:rsidRDefault="00E922D1" w:rsidP="00E922D1">
      <w:pPr>
        <w:numPr>
          <w:ilvl w:val="12"/>
          <w:numId w:val="0"/>
        </w:numPr>
        <w:ind w:right="-75"/>
        <w:jc w:val="both"/>
        <w:rPr>
          <w:sz w:val="22"/>
          <w:szCs w:val="22"/>
          <w:lang w:val="en-GB"/>
        </w:rPr>
      </w:pPr>
    </w:p>
    <w:p w:rsidR="00E922D1" w:rsidRDefault="007566D9" w:rsidP="00E922D1">
      <w:pPr>
        <w:numPr>
          <w:ilvl w:val="12"/>
          <w:numId w:val="0"/>
        </w:numPr>
        <w:ind w:right="-75"/>
        <w:jc w:val="both"/>
        <w:rPr>
          <w:sz w:val="22"/>
          <w:szCs w:val="22"/>
          <w:lang w:val="en-GB"/>
        </w:rPr>
      </w:pPr>
      <w:r w:rsidRPr="007566D9">
        <w:rPr>
          <w:sz w:val="22"/>
          <w:szCs w:val="22"/>
          <w:lang w:val="en-GB"/>
        </w:rPr>
        <w:t>The share premium of the Group comes up to BGN 19,565 thousand. It is accumulated by the proceeds, obtained in addition to the par value of the shares issued in 2014 with issue value per share to the amount of BGN 23.</w:t>
      </w:r>
    </w:p>
    <w:p w:rsidR="007566D9" w:rsidRPr="00C66B91" w:rsidRDefault="007566D9" w:rsidP="00E922D1">
      <w:pPr>
        <w:numPr>
          <w:ilvl w:val="12"/>
          <w:numId w:val="0"/>
        </w:numPr>
        <w:ind w:right="-75"/>
        <w:jc w:val="both"/>
        <w:rPr>
          <w:sz w:val="22"/>
          <w:szCs w:val="22"/>
          <w:lang w:val="en-GB"/>
        </w:rPr>
      </w:pPr>
    </w:p>
    <w:p w:rsidR="00AD5E5D" w:rsidRPr="00AD5E5D" w:rsidRDefault="00AD5E5D" w:rsidP="00AD5E5D">
      <w:pPr>
        <w:numPr>
          <w:ilvl w:val="12"/>
          <w:numId w:val="0"/>
        </w:numPr>
        <w:jc w:val="both"/>
        <w:rPr>
          <w:b/>
          <w:sz w:val="22"/>
          <w:szCs w:val="22"/>
          <w:lang w:val="en-GB"/>
        </w:rPr>
      </w:pPr>
      <w:r w:rsidRPr="00AD5E5D">
        <w:rPr>
          <w:b/>
          <w:sz w:val="22"/>
          <w:szCs w:val="22"/>
          <w:lang w:val="en-GB"/>
        </w:rPr>
        <w:t>10. PAYABLES UNDER FINANCIAL LEASE AGREEMENTS</w:t>
      </w:r>
    </w:p>
    <w:p w:rsidR="00AD5E5D" w:rsidRPr="00AD5E5D" w:rsidRDefault="00AD5E5D" w:rsidP="00AD5E5D">
      <w:pPr>
        <w:numPr>
          <w:ilvl w:val="12"/>
          <w:numId w:val="0"/>
        </w:numPr>
        <w:jc w:val="both"/>
        <w:rPr>
          <w:b/>
          <w:sz w:val="22"/>
          <w:szCs w:val="22"/>
          <w:lang w:val="en-GB"/>
        </w:rPr>
      </w:pPr>
      <w:r w:rsidRPr="00AD5E5D">
        <w:rPr>
          <w:b/>
          <w:sz w:val="22"/>
          <w:szCs w:val="22"/>
          <w:lang w:val="en-GB"/>
        </w:rPr>
        <w:tab/>
      </w:r>
    </w:p>
    <w:p w:rsidR="00AD5E5D" w:rsidRPr="00AD5E5D" w:rsidRDefault="00AD5E5D" w:rsidP="00AD5E5D">
      <w:pPr>
        <w:numPr>
          <w:ilvl w:val="12"/>
          <w:numId w:val="0"/>
        </w:numPr>
        <w:jc w:val="both"/>
        <w:rPr>
          <w:sz w:val="22"/>
          <w:szCs w:val="22"/>
          <w:lang w:val="en-GB"/>
        </w:rPr>
      </w:pPr>
      <w:r w:rsidRPr="00AD5E5D">
        <w:rPr>
          <w:sz w:val="22"/>
          <w:szCs w:val="22"/>
          <w:lang w:val="en-GB"/>
        </w:rPr>
        <w:t xml:space="preserve">Under a financial lease agreement, the Group has acquired plant, computers, vehicles and equipment. </w:t>
      </w:r>
    </w:p>
    <w:p w:rsidR="00AD5E5D" w:rsidRPr="00AD5E5D" w:rsidRDefault="00AD5E5D" w:rsidP="00AD5E5D">
      <w:pPr>
        <w:numPr>
          <w:ilvl w:val="12"/>
          <w:numId w:val="0"/>
        </w:numPr>
        <w:jc w:val="both"/>
        <w:rPr>
          <w:sz w:val="22"/>
          <w:szCs w:val="22"/>
          <w:lang w:val="en-GB"/>
        </w:rPr>
      </w:pPr>
      <w:r w:rsidRPr="00AD5E5D">
        <w:rPr>
          <w:sz w:val="22"/>
          <w:szCs w:val="22"/>
          <w:lang w:val="en-GB"/>
        </w:rPr>
        <w:t>The payables under the financial lease agreement are secured by the respective assets.</w:t>
      </w:r>
    </w:p>
    <w:p w:rsidR="00AD5E5D" w:rsidRPr="00AD5E5D" w:rsidRDefault="00AD5E5D" w:rsidP="00AD5E5D">
      <w:pPr>
        <w:numPr>
          <w:ilvl w:val="12"/>
          <w:numId w:val="0"/>
        </w:numPr>
        <w:jc w:val="both"/>
        <w:rPr>
          <w:sz w:val="22"/>
          <w:szCs w:val="22"/>
          <w:lang w:val="en-GB"/>
        </w:rPr>
      </w:pPr>
      <w:r w:rsidRPr="00AD5E5D">
        <w:rPr>
          <w:sz w:val="22"/>
          <w:szCs w:val="22"/>
          <w:lang w:val="en-GB"/>
        </w:rPr>
        <w:tab/>
      </w:r>
    </w:p>
    <w:p w:rsidR="00E922D1" w:rsidRPr="00AD5E5D" w:rsidRDefault="00AD5E5D" w:rsidP="00AD5E5D">
      <w:pPr>
        <w:numPr>
          <w:ilvl w:val="12"/>
          <w:numId w:val="0"/>
        </w:numPr>
        <w:jc w:val="both"/>
        <w:rPr>
          <w:sz w:val="22"/>
          <w:szCs w:val="22"/>
          <w:lang w:val="en-GB"/>
        </w:rPr>
      </w:pPr>
      <w:r w:rsidRPr="00AD5E5D">
        <w:rPr>
          <w:sz w:val="22"/>
          <w:szCs w:val="22"/>
          <w:lang w:val="en-GB"/>
        </w:rPr>
        <w:t xml:space="preserve">As </w:t>
      </w:r>
      <w:r w:rsidR="000C50F4">
        <w:rPr>
          <w:sz w:val="22"/>
          <w:szCs w:val="22"/>
          <w:lang w:val="en-GB"/>
        </w:rPr>
        <w:t>of</w:t>
      </w:r>
      <w:r w:rsidRPr="00AD5E5D">
        <w:rPr>
          <w:sz w:val="22"/>
          <w:szCs w:val="22"/>
          <w:lang w:val="en-GB"/>
        </w:rPr>
        <w:t xml:space="preserve"> 30 June 2015, the payables of the Group under financial lease agreements are the following:</w:t>
      </w:r>
    </w:p>
    <w:tbl>
      <w:tblPr>
        <w:tblW w:w="9465" w:type="dxa"/>
        <w:tblInd w:w="93" w:type="dxa"/>
        <w:tblLayout w:type="fixed"/>
        <w:tblLook w:val="0000" w:firstRow="0" w:lastRow="0" w:firstColumn="0" w:lastColumn="0" w:noHBand="0" w:noVBand="0"/>
      </w:tblPr>
      <w:tblGrid>
        <w:gridCol w:w="6315"/>
        <w:gridCol w:w="1620"/>
        <w:gridCol w:w="1530"/>
      </w:tblGrid>
      <w:tr w:rsidR="008C46AC" w:rsidRPr="00C66B91" w:rsidTr="008C46AC">
        <w:trPr>
          <w:trHeight w:val="285"/>
        </w:trPr>
        <w:tc>
          <w:tcPr>
            <w:tcW w:w="6315" w:type="dxa"/>
            <w:vMerge w:val="restart"/>
          </w:tcPr>
          <w:p w:rsidR="008C46AC" w:rsidRPr="00C66B91" w:rsidRDefault="008C46AC" w:rsidP="008C46AC">
            <w:pPr>
              <w:rPr>
                <w:sz w:val="22"/>
                <w:szCs w:val="22"/>
                <w:lang w:val="en-GB"/>
              </w:rPr>
            </w:pPr>
          </w:p>
        </w:tc>
        <w:tc>
          <w:tcPr>
            <w:tcW w:w="1620" w:type="dxa"/>
            <w:tcBorders>
              <w:top w:val="nil"/>
              <w:left w:val="nil"/>
              <w:bottom w:val="single" w:sz="4" w:space="0" w:color="auto"/>
              <w:right w:val="nil"/>
            </w:tcBorders>
          </w:tcPr>
          <w:p w:rsidR="008C46AC" w:rsidRPr="00C66B91" w:rsidRDefault="008A588E" w:rsidP="008C46AC">
            <w:pPr>
              <w:jc w:val="center"/>
              <w:rPr>
                <w:b/>
                <w:sz w:val="22"/>
                <w:szCs w:val="22"/>
                <w:lang w:val="en-GB"/>
              </w:rPr>
            </w:pPr>
            <w:r w:rsidRPr="00C66B91">
              <w:rPr>
                <w:b/>
                <w:sz w:val="22"/>
                <w:szCs w:val="22"/>
                <w:lang w:val="en-GB"/>
              </w:rPr>
              <w:t>30.06</w:t>
            </w:r>
            <w:r w:rsidR="008C46AC" w:rsidRPr="00C66B91">
              <w:rPr>
                <w:b/>
                <w:sz w:val="22"/>
                <w:szCs w:val="22"/>
                <w:lang w:val="en-GB"/>
              </w:rPr>
              <w:t>.2015</w:t>
            </w:r>
          </w:p>
        </w:tc>
        <w:tc>
          <w:tcPr>
            <w:tcW w:w="1530" w:type="dxa"/>
            <w:tcBorders>
              <w:top w:val="nil"/>
              <w:left w:val="nil"/>
              <w:bottom w:val="single" w:sz="4" w:space="0" w:color="auto"/>
              <w:right w:val="nil"/>
            </w:tcBorders>
          </w:tcPr>
          <w:p w:rsidR="008C46AC" w:rsidRPr="00C66B91" w:rsidRDefault="008C46AC" w:rsidP="008C46AC">
            <w:pPr>
              <w:jc w:val="center"/>
              <w:rPr>
                <w:b/>
                <w:sz w:val="22"/>
                <w:szCs w:val="22"/>
                <w:lang w:val="en-GB"/>
              </w:rPr>
            </w:pPr>
            <w:r w:rsidRPr="00C66B91">
              <w:rPr>
                <w:b/>
                <w:sz w:val="22"/>
                <w:szCs w:val="22"/>
                <w:lang w:val="en-GB"/>
              </w:rPr>
              <w:t>31.12.2014</w:t>
            </w:r>
          </w:p>
        </w:tc>
      </w:tr>
      <w:tr w:rsidR="008C46AC" w:rsidRPr="00C66B91" w:rsidTr="008C46AC">
        <w:trPr>
          <w:trHeight w:val="285"/>
        </w:trPr>
        <w:tc>
          <w:tcPr>
            <w:tcW w:w="6315" w:type="dxa"/>
            <w:vMerge/>
            <w:vAlign w:val="center"/>
          </w:tcPr>
          <w:p w:rsidR="008C46AC" w:rsidRPr="00C66B91" w:rsidRDefault="008C46AC" w:rsidP="008C46AC">
            <w:pPr>
              <w:rPr>
                <w:sz w:val="22"/>
                <w:szCs w:val="22"/>
                <w:lang w:val="en-GB"/>
              </w:rPr>
            </w:pPr>
          </w:p>
        </w:tc>
        <w:tc>
          <w:tcPr>
            <w:tcW w:w="1620" w:type="dxa"/>
            <w:tcBorders>
              <w:top w:val="single" w:sz="4" w:space="0" w:color="auto"/>
              <w:left w:val="nil"/>
              <w:right w:val="nil"/>
            </w:tcBorders>
          </w:tcPr>
          <w:p w:rsidR="008C46AC" w:rsidRPr="00C66B91" w:rsidRDefault="008C46AC" w:rsidP="008C46AC">
            <w:pPr>
              <w:jc w:val="center"/>
              <w:rPr>
                <w:b/>
                <w:sz w:val="22"/>
                <w:szCs w:val="22"/>
                <w:lang w:val="en-GB"/>
              </w:rPr>
            </w:pPr>
            <w:r w:rsidRPr="00C66B91">
              <w:rPr>
                <w:b/>
                <w:sz w:val="22"/>
                <w:szCs w:val="22"/>
                <w:lang w:val="en-GB"/>
              </w:rPr>
              <w:t>BGN’000</w:t>
            </w:r>
          </w:p>
        </w:tc>
        <w:tc>
          <w:tcPr>
            <w:tcW w:w="1530" w:type="dxa"/>
            <w:tcBorders>
              <w:top w:val="single" w:sz="4" w:space="0" w:color="auto"/>
              <w:left w:val="nil"/>
              <w:right w:val="nil"/>
            </w:tcBorders>
          </w:tcPr>
          <w:p w:rsidR="008C46AC" w:rsidRPr="00C66B91" w:rsidRDefault="008C46AC" w:rsidP="008C46AC">
            <w:pPr>
              <w:jc w:val="center"/>
              <w:rPr>
                <w:b/>
                <w:sz w:val="22"/>
                <w:szCs w:val="22"/>
                <w:lang w:val="en-GB"/>
              </w:rPr>
            </w:pPr>
            <w:r w:rsidRPr="00C66B91">
              <w:rPr>
                <w:b/>
                <w:sz w:val="22"/>
                <w:szCs w:val="22"/>
                <w:lang w:val="en-GB"/>
              </w:rPr>
              <w:t>BGN’000</w:t>
            </w:r>
          </w:p>
        </w:tc>
      </w:tr>
      <w:tr w:rsidR="008C46AC" w:rsidRPr="00C66B91" w:rsidTr="008C46AC">
        <w:trPr>
          <w:trHeight w:val="285"/>
        </w:trPr>
        <w:tc>
          <w:tcPr>
            <w:tcW w:w="6315" w:type="dxa"/>
            <w:vAlign w:val="center"/>
          </w:tcPr>
          <w:p w:rsidR="008C46AC" w:rsidRPr="00C66B91" w:rsidRDefault="008C46AC" w:rsidP="008C46AC">
            <w:pPr>
              <w:rPr>
                <w:sz w:val="22"/>
                <w:szCs w:val="22"/>
                <w:lang w:val="en-GB"/>
              </w:rPr>
            </w:pPr>
          </w:p>
        </w:tc>
        <w:tc>
          <w:tcPr>
            <w:tcW w:w="1620" w:type="dxa"/>
            <w:tcBorders>
              <w:top w:val="nil"/>
              <w:left w:val="nil"/>
              <w:right w:val="nil"/>
            </w:tcBorders>
            <w:tcMar>
              <w:left w:w="115" w:type="dxa"/>
              <w:right w:w="432" w:type="dxa"/>
            </w:tcMar>
            <w:vAlign w:val="center"/>
          </w:tcPr>
          <w:p w:rsidR="008C46AC" w:rsidRPr="00C66B91" w:rsidRDefault="008C46AC" w:rsidP="008C46AC">
            <w:pPr>
              <w:jc w:val="right"/>
              <w:rPr>
                <w:sz w:val="22"/>
                <w:szCs w:val="22"/>
                <w:lang w:val="en-GB"/>
              </w:rPr>
            </w:pPr>
          </w:p>
        </w:tc>
        <w:tc>
          <w:tcPr>
            <w:tcW w:w="1530" w:type="dxa"/>
            <w:tcBorders>
              <w:top w:val="nil"/>
              <w:left w:val="nil"/>
              <w:right w:val="nil"/>
            </w:tcBorders>
            <w:vAlign w:val="center"/>
          </w:tcPr>
          <w:p w:rsidR="008C46AC" w:rsidRPr="00C66B91" w:rsidRDefault="008C46AC" w:rsidP="008C46AC">
            <w:pPr>
              <w:jc w:val="right"/>
              <w:rPr>
                <w:sz w:val="22"/>
                <w:szCs w:val="22"/>
                <w:lang w:val="en-GB"/>
              </w:rPr>
            </w:pPr>
          </w:p>
        </w:tc>
      </w:tr>
      <w:tr w:rsidR="00AD5E5D" w:rsidRPr="00C66B91" w:rsidTr="008C46AC">
        <w:trPr>
          <w:trHeight w:val="285"/>
        </w:trPr>
        <w:tc>
          <w:tcPr>
            <w:tcW w:w="6315" w:type="dxa"/>
            <w:vAlign w:val="bottom"/>
          </w:tcPr>
          <w:p w:rsidR="00AD5E5D" w:rsidRPr="005E30E6" w:rsidDel="00ED26BF" w:rsidRDefault="00AD5E5D" w:rsidP="00AD5E5D">
            <w:pPr>
              <w:rPr>
                <w:sz w:val="22"/>
                <w:szCs w:val="22"/>
              </w:rPr>
            </w:pPr>
            <w:r w:rsidRPr="005E30E6">
              <w:rPr>
                <w:sz w:val="22"/>
                <w:szCs w:val="22"/>
              </w:rPr>
              <w:t xml:space="preserve">Payables under financial lease agreements </w:t>
            </w:r>
          </w:p>
        </w:tc>
        <w:tc>
          <w:tcPr>
            <w:tcW w:w="1620" w:type="dxa"/>
            <w:tcBorders>
              <w:left w:val="nil"/>
              <w:bottom w:val="single" w:sz="4" w:space="0" w:color="auto"/>
              <w:right w:val="nil"/>
            </w:tcBorders>
            <w:tcMar>
              <w:left w:w="115" w:type="dxa"/>
              <w:right w:w="227" w:type="dxa"/>
            </w:tcMar>
            <w:vAlign w:val="bottom"/>
          </w:tcPr>
          <w:p w:rsidR="00AD5E5D" w:rsidRPr="00C66B91" w:rsidRDefault="00AD5E5D" w:rsidP="00AD5E5D">
            <w:pPr>
              <w:jc w:val="right"/>
              <w:rPr>
                <w:sz w:val="22"/>
                <w:szCs w:val="22"/>
                <w:lang w:val="en-GB"/>
              </w:rPr>
            </w:pPr>
            <w:r w:rsidRPr="00C66B91">
              <w:rPr>
                <w:sz w:val="22"/>
                <w:szCs w:val="22"/>
                <w:lang w:val="en-GB"/>
              </w:rPr>
              <w:t>11,495</w:t>
            </w:r>
          </w:p>
        </w:tc>
        <w:tc>
          <w:tcPr>
            <w:tcW w:w="1530" w:type="dxa"/>
            <w:tcBorders>
              <w:left w:val="nil"/>
              <w:bottom w:val="single" w:sz="4" w:space="0" w:color="auto"/>
              <w:right w:val="nil"/>
            </w:tcBorders>
            <w:vAlign w:val="bottom"/>
          </w:tcPr>
          <w:p w:rsidR="00AD5E5D" w:rsidRPr="00C66B91" w:rsidRDefault="00AD5E5D" w:rsidP="00AD5E5D">
            <w:pPr>
              <w:jc w:val="right"/>
              <w:rPr>
                <w:sz w:val="22"/>
                <w:szCs w:val="22"/>
                <w:lang w:val="en-GB"/>
              </w:rPr>
            </w:pPr>
            <w:r w:rsidRPr="00C66B91">
              <w:rPr>
                <w:sz w:val="22"/>
                <w:szCs w:val="22"/>
                <w:lang w:val="en-GB"/>
              </w:rPr>
              <w:t>12,150</w:t>
            </w:r>
          </w:p>
        </w:tc>
      </w:tr>
      <w:tr w:rsidR="00AD5E5D" w:rsidRPr="00C66B91" w:rsidTr="008C46AC">
        <w:trPr>
          <w:trHeight w:val="285"/>
        </w:trPr>
        <w:tc>
          <w:tcPr>
            <w:tcW w:w="6315" w:type="dxa"/>
            <w:vAlign w:val="bottom"/>
          </w:tcPr>
          <w:p w:rsidR="00AD5E5D" w:rsidRPr="005E30E6" w:rsidRDefault="00AD5E5D" w:rsidP="00AD5E5D">
            <w:pPr>
              <w:numPr>
                <w:ilvl w:val="0"/>
                <w:numId w:val="29"/>
              </w:numPr>
              <w:ind w:hanging="529"/>
              <w:rPr>
                <w:sz w:val="22"/>
                <w:szCs w:val="22"/>
              </w:rPr>
            </w:pPr>
            <w:r w:rsidRPr="005E30E6">
              <w:rPr>
                <w:sz w:val="22"/>
                <w:szCs w:val="22"/>
              </w:rPr>
              <w:lastRenderedPageBreak/>
              <w:t>Long-term part</w:t>
            </w:r>
          </w:p>
        </w:tc>
        <w:tc>
          <w:tcPr>
            <w:tcW w:w="1620" w:type="dxa"/>
            <w:tcBorders>
              <w:top w:val="single" w:sz="4" w:space="0" w:color="auto"/>
              <w:left w:val="nil"/>
              <w:right w:val="nil"/>
            </w:tcBorders>
            <w:tcMar>
              <w:left w:w="115" w:type="dxa"/>
              <w:right w:w="227" w:type="dxa"/>
            </w:tcMar>
            <w:vAlign w:val="bottom"/>
          </w:tcPr>
          <w:p w:rsidR="00AD5E5D" w:rsidRPr="00C66B91" w:rsidRDefault="00AD5E5D" w:rsidP="00AD5E5D">
            <w:pPr>
              <w:jc w:val="right"/>
              <w:rPr>
                <w:sz w:val="22"/>
                <w:szCs w:val="22"/>
                <w:lang w:val="en-GB"/>
              </w:rPr>
            </w:pPr>
            <w:r w:rsidRPr="00C66B91">
              <w:rPr>
                <w:sz w:val="22"/>
                <w:szCs w:val="22"/>
                <w:lang w:val="en-GB"/>
              </w:rPr>
              <w:t>7,693</w:t>
            </w:r>
          </w:p>
        </w:tc>
        <w:tc>
          <w:tcPr>
            <w:tcW w:w="1530" w:type="dxa"/>
            <w:tcBorders>
              <w:top w:val="single" w:sz="4" w:space="0" w:color="auto"/>
              <w:left w:val="nil"/>
              <w:right w:val="nil"/>
            </w:tcBorders>
            <w:vAlign w:val="bottom"/>
          </w:tcPr>
          <w:p w:rsidR="00AD5E5D" w:rsidRPr="00C66B91" w:rsidRDefault="00AD5E5D" w:rsidP="00AD5E5D">
            <w:pPr>
              <w:jc w:val="right"/>
              <w:rPr>
                <w:sz w:val="22"/>
                <w:szCs w:val="22"/>
                <w:lang w:val="en-GB"/>
              </w:rPr>
            </w:pPr>
            <w:r w:rsidRPr="00C66B91">
              <w:rPr>
                <w:sz w:val="22"/>
                <w:szCs w:val="22"/>
                <w:lang w:val="en-GB"/>
              </w:rPr>
              <w:t>8,505</w:t>
            </w:r>
          </w:p>
        </w:tc>
      </w:tr>
      <w:tr w:rsidR="00AD5E5D" w:rsidRPr="00C66B91" w:rsidTr="008C46AC">
        <w:trPr>
          <w:trHeight w:val="285"/>
        </w:trPr>
        <w:tc>
          <w:tcPr>
            <w:tcW w:w="6315" w:type="dxa"/>
            <w:vAlign w:val="bottom"/>
          </w:tcPr>
          <w:p w:rsidR="00AD5E5D" w:rsidRPr="005E30E6" w:rsidRDefault="00AD5E5D" w:rsidP="00AD5E5D">
            <w:pPr>
              <w:numPr>
                <w:ilvl w:val="0"/>
                <w:numId w:val="29"/>
              </w:numPr>
              <w:ind w:hanging="529"/>
              <w:rPr>
                <w:sz w:val="22"/>
                <w:szCs w:val="22"/>
              </w:rPr>
            </w:pPr>
            <w:r w:rsidRPr="005E30E6">
              <w:rPr>
                <w:sz w:val="22"/>
                <w:szCs w:val="22"/>
              </w:rPr>
              <w:t>Short-term part</w:t>
            </w:r>
          </w:p>
        </w:tc>
        <w:tc>
          <w:tcPr>
            <w:tcW w:w="1620" w:type="dxa"/>
            <w:tcBorders>
              <w:left w:val="nil"/>
              <w:right w:val="nil"/>
            </w:tcBorders>
            <w:tcMar>
              <w:left w:w="115" w:type="dxa"/>
              <w:right w:w="227" w:type="dxa"/>
            </w:tcMar>
            <w:vAlign w:val="bottom"/>
          </w:tcPr>
          <w:p w:rsidR="00AD5E5D" w:rsidRPr="00C66B91" w:rsidRDefault="00AD5E5D" w:rsidP="00AD5E5D">
            <w:pPr>
              <w:jc w:val="right"/>
              <w:rPr>
                <w:sz w:val="22"/>
                <w:szCs w:val="22"/>
                <w:lang w:val="en-GB"/>
              </w:rPr>
            </w:pPr>
            <w:r w:rsidRPr="00C66B91">
              <w:rPr>
                <w:sz w:val="22"/>
                <w:szCs w:val="22"/>
                <w:lang w:val="en-GB"/>
              </w:rPr>
              <w:t>3,802</w:t>
            </w:r>
          </w:p>
        </w:tc>
        <w:tc>
          <w:tcPr>
            <w:tcW w:w="1530" w:type="dxa"/>
            <w:tcBorders>
              <w:left w:val="nil"/>
              <w:right w:val="nil"/>
            </w:tcBorders>
            <w:vAlign w:val="bottom"/>
          </w:tcPr>
          <w:p w:rsidR="00AD5E5D" w:rsidRPr="00C66B91" w:rsidRDefault="00AD5E5D" w:rsidP="00AD5E5D">
            <w:pPr>
              <w:jc w:val="right"/>
              <w:rPr>
                <w:sz w:val="22"/>
                <w:szCs w:val="22"/>
                <w:lang w:val="en-GB"/>
              </w:rPr>
            </w:pPr>
            <w:r w:rsidRPr="00C66B91">
              <w:rPr>
                <w:sz w:val="22"/>
                <w:szCs w:val="22"/>
                <w:lang w:val="en-GB"/>
              </w:rPr>
              <w:t>3,645</w:t>
            </w:r>
          </w:p>
        </w:tc>
      </w:tr>
      <w:tr w:rsidR="00AD5E5D" w:rsidRPr="00C66B91" w:rsidTr="008C46AC">
        <w:trPr>
          <w:trHeight w:val="285"/>
        </w:trPr>
        <w:tc>
          <w:tcPr>
            <w:tcW w:w="6315" w:type="dxa"/>
            <w:vAlign w:val="bottom"/>
          </w:tcPr>
          <w:p w:rsidR="00AD5E5D" w:rsidRPr="005E30E6" w:rsidRDefault="00AD5E5D" w:rsidP="00AD5E5D">
            <w:pPr>
              <w:jc w:val="right"/>
              <w:rPr>
                <w:sz w:val="22"/>
                <w:szCs w:val="22"/>
              </w:rPr>
            </w:pPr>
            <w:r w:rsidRPr="005E30E6">
              <w:rPr>
                <w:sz w:val="22"/>
                <w:szCs w:val="22"/>
              </w:rPr>
              <w:t xml:space="preserve">Total </w:t>
            </w:r>
          </w:p>
        </w:tc>
        <w:tc>
          <w:tcPr>
            <w:tcW w:w="1620" w:type="dxa"/>
            <w:tcBorders>
              <w:top w:val="single" w:sz="4" w:space="0" w:color="auto"/>
              <w:left w:val="nil"/>
              <w:bottom w:val="double" w:sz="6" w:space="0" w:color="auto"/>
              <w:right w:val="nil"/>
            </w:tcBorders>
            <w:tcMar>
              <w:left w:w="115" w:type="dxa"/>
              <w:right w:w="227" w:type="dxa"/>
            </w:tcMar>
            <w:vAlign w:val="bottom"/>
          </w:tcPr>
          <w:p w:rsidR="00AD5E5D" w:rsidRPr="00C66B91" w:rsidRDefault="00AD5E5D" w:rsidP="00AD5E5D">
            <w:pPr>
              <w:jc w:val="right"/>
              <w:rPr>
                <w:b/>
                <w:sz w:val="22"/>
                <w:szCs w:val="22"/>
                <w:lang w:val="en-GB"/>
              </w:rPr>
            </w:pPr>
            <w:r w:rsidRPr="00C66B91">
              <w:rPr>
                <w:b/>
                <w:sz w:val="22"/>
                <w:szCs w:val="22"/>
                <w:lang w:val="en-GB"/>
              </w:rPr>
              <w:t>11,495</w:t>
            </w:r>
          </w:p>
        </w:tc>
        <w:tc>
          <w:tcPr>
            <w:tcW w:w="1530" w:type="dxa"/>
            <w:tcBorders>
              <w:top w:val="single" w:sz="4" w:space="0" w:color="auto"/>
              <w:left w:val="nil"/>
              <w:bottom w:val="double" w:sz="6" w:space="0" w:color="auto"/>
              <w:right w:val="nil"/>
            </w:tcBorders>
            <w:vAlign w:val="bottom"/>
          </w:tcPr>
          <w:p w:rsidR="00AD5E5D" w:rsidRPr="00C66B91" w:rsidRDefault="00AD5E5D" w:rsidP="00AD5E5D">
            <w:pPr>
              <w:jc w:val="right"/>
              <w:rPr>
                <w:b/>
                <w:sz w:val="22"/>
                <w:szCs w:val="22"/>
                <w:lang w:val="en-GB"/>
              </w:rPr>
            </w:pPr>
            <w:r w:rsidRPr="00C66B91">
              <w:rPr>
                <w:b/>
                <w:sz w:val="22"/>
                <w:szCs w:val="22"/>
                <w:lang w:val="en-GB"/>
              </w:rPr>
              <w:t>12,150</w:t>
            </w:r>
          </w:p>
        </w:tc>
      </w:tr>
    </w:tbl>
    <w:p w:rsidR="00E922D1" w:rsidRPr="00C66B91" w:rsidRDefault="00E922D1" w:rsidP="00E922D1">
      <w:pPr>
        <w:jc w:val="both"/>
        <w:rPr>
          <w:sz w:val="22"/>
          <w:szCs w:val="22"/>
          <w:lang w:val="en-GB"/>
        </w:rPr>
      </w:pPr>
    </w:p>
    <w:p w:rsidR="00E922D1" w:rsidRPr="00C66B91" w:rsidRDefault="00AD5E5D" w:rsidP="00E922D1">
      <w:pPr>
        <w:numPr>
          <w:ilvl w:val="12"/>
          <w:numId w:val="0"/>
        </w:numPr>
        <w:ind w:right="-75"/>
        <w:jc w:val="both"/>
        <w:rPr>
          <w:sz w:val="22"/>
          <w:szCs w:val="22"/>
          <w:lang w:val="en-GB"/>
        </w:rPr>
      </w:pPr>
      <w:r w:rsidRPr="00AD5E5D">
        <w:rPr>
          <w:sz w:val="22"/>
          <w:szCs w:val="22"/>
          <w:lang w:val="en-GB"/>
        </w:rPr>
        <w:t>The lease agreements consist of fixed lease payments and purchase option during the last year of the term of the lease.</w:t>
      </w:r>
    </w:p>
    <w:p w:rsidR="00E922D1" w:rsidRPr="00C66B91" w:rsidRDefault="00E922D1" w:rsidP="00E922D1">
      <w:pPr>
        <w:numPr>
          <w:ilvl w:val="12"/>
          <w:numId w:val="0"/>
        </w:numPr>
        <w:ind w:right="-75"/>
        <w:jc w:val="both"/>
        <w:rPr>
          <w:sz w:val="22"/>
          <w:szCs w:val="22"/>
          <w:lang w:val="en-GB"/>
        </w:rPr>
      </w:pPr>
    </w:p>
    <w:p w:rsidR="000C50F4" w:rsidRPr="000C50F4" w:rsidRDefault="000C50F4" w:rsidP="000C50F4">
      <w:pPr>
        <w:jc w:val="both"/>
        <w:rPr>
          <w:b/>
          <w:sz w:val="22"/>
          <w:szCs w:val="22"/>
          <w:lang w:val="en-GB"/>
        </w:rPr>
      </w:pPr>
      <w:r w:rsidRPr="000C50F4">
        <w:rPr>
          <w:b/>
          <w:sz w:val="22"/>
          <w:szCs w:val="22"/>
          <w:lang w:val="en-GB"/>
        </w:rPr>
        <w:t>11. PAYABLES TO BANKS</w:t>
      </w:r>
    </w:p>
    <w:p w:rsidR="000C50F4" w:rsidRPr="000C50F4" w:rsidRDefault="000C50F4" w:rsidP="000C50F4">
      <w:pPr>
        <w:jc w:val="both"/>
        <w:rPr>
          <w:b/>
          <w:sz w:val="22"/>
          <w:szCs w:val="22"/>
          <w:lang w:val="en-GB"/>
        </w:rPr>
      </w:pPr>
    </w:p>
    <w:p w:rsidR="00E922D1" w:rsidRPr="000C50F4" w:rsidRDefault="000C50F4" w:rsidP="000C50F4">
      <w:pPr>
        <w:jc w:val="both"/>
        <w:rPr>
          <w:sz w:val="22"/>
          <w:szCs w:val="22"/>
          <w:lang w:val="en-GB"/>
        </w:rPr>
      </w:pPr>
      <w:r w:rsidRPr="000C50F4">
        <w:rPr>
          <w:sz w:val="22"/>
          <w:szCs w:val="22"/>
          <w:lang w:val="en-GB"/>
        </w:rPr>
        <w:t xml:space="preserve">As </w:t>
      </w:r>
      <w:r>
        <w:rPr>
          <w:sz w:val="22"/>
          <w:szCs w:val="22"/>
          <w:lang w:val="en-GB"/>
        </w:rPr>
        <w:t>of</w:t>
      </w:r>
      <w:r w:rsidRPr="000C50F4">
        <w:rPr>
          <w:sz w:val="22"/>
          <w:szCs w:val="22"/>
          <w:lang w:val="en-GB"/>
        </w:rPr>
        <w:t xml:space="preserve"> 30 June 2015, the payables under these loans are the following:</w:t>
      </w:r>
    </w:p>
    <w:tbl>
      <w:tblPr>
        <w:tblW w:w="4965" w:type="pct"/>
        <w:tblLook w:val="0000" w:firstRow="0" w:lastRow="0" w:firstColumn="0" w:lastColumn="0" w:noHBand="0" w:noVBand="0"/>
      </w:tblPr>
      <w:tblGrid>
        <w:gridCol w:w="5784"/>
        <w:gridCol w:w="1523"/>
        <w:gridCol w:w="1718"/>
      </w:tblGrid>
      <w:tr w:rsidR="008C46AC" w:rsidRPr="00C66B91" w:rsidTr="008C46AC">
        <w:trPr>
          <w:cantSplit/>
          <w:trHeight w:val="285"/>
        </w:trPr>
        <w:tc>
          <w:tcPr>
            <w:tcW w:w="3204" w:type="pct"/>
            <w:vMerge w:val="restart"/>
            <w:tcBorders>
              <w:top w:val="nil"/>
              <w:left w:val="nil"/>
              <w:bottom w:val="nil"/>
              <w:right w:val="nil"/>
            </w:tcBorders>
          </w:tcPr>
          <w:p w:rsidR="008C46AC" w:rsidRPr="00C66B91" w:rsidRDefault="008C46AC" w:rsidP="008C46AC">
            <w:pPr>
              <w:rPr>
                <w:b/>
                <w:lang w:val="en-GB"/>
              </w:rPr>
            </w:pPr>
          </w:p>
        </w:tc>
        <w:tc>
          <w:tcPr>
            <w:tcW w:w="844" w:type="pct"/>
            <w:tcBorders>
              <w:top w:val="nil"/>
              <w:left w:val="nil"/>
              <w:bottom w:val="single" w:sz="4" w:space="0" w:color="auto"/>
              <w:right w:val="nil"/>
            </w:tcBorders>
          </w:tcPr>
          <w:p w:rsidR="008C46AC" w:rsidRPr="00C66B91" w:rsidRDefault="008A588E" w:rsidP="008C46AC">
            <w:pPr>
              <w:jc w:val="center"/>
              <w:rPr>
                <w:b/>
                <w:lang w:val="en-GB"/>
              </w:rPr>
            </w:pPr>
            <w:r w:rsidRPr="00C66B91">
              <w:rPr>
                <w:b/>
                <w:sz w:val="22"/>
                <w:szCs w:val="22"/>
                <w:lang w:val="en-GB"/>
              </w:rPr>
              <w:t>30.06</w:t>
            </w:r>
            <w:r w:rsidR="008C46AC" w:rsidRPr="00C66B91">
              <w:rPr>
                <w:b/>
                <w:sz w:val="22"/>
                <w:szCs w:val="22"/>
                <w:lang w:val="en-GB"/>
              </w:rPr>
              <w:t>.2015</w:t>
            </w:r>
          </w:p>
        </w:tc>
        <w:tc>
          <w:tcPr>
            <w:tcW w:w="952" w:type="pct"/>
            <w:tcBorders>
              <w:top w:val="nil"/>
              <w:left w:val="nil"/>
              <w:bottom w:val="single" w:sz="4" w:space="0" w:color="auto"/>
              <w:right w:val="nil"/>
            </w:tcBorders>
          </w:tcPr>
          <w:p w:rsidR="008C46AC" w:rsidRPr="00C66B91" w:rsidRDefault="008C46AC" w:rsidP="008C46AC">
            <w:pPr>
              <w:jc w:val="center"/>
              <w:rPr>
                <w:b/>
                <w:lang w:val="en-GB"/>
              </w:rPr>
            </w:pPr>
            <w:r w:rsidRPr="00C66B91">
              <w:rPr>
                <w:b/>
                <w:sz w:val="22"/>
                <w:szCs w:val="22"/>
                <w:lang w:val="en-GB"/>
              </w:rPr>
              <w:t>31.12.2014</w:t>
            </w:r>
          </w:p>
        </w:tc>
      </w:tr>
      <w:tr w:rsidR="008C46AC" w:rsidRPr="00C66B91" w:rsidTr="008C46AC">
        <w:trPr>
          <w:cantSplit/>
          <w:trHeight w:val="285"/>
        </w:trPr>
        <w:tc>
          <w:tcPr>
            <w:tcW w:w="3204" w:type="pct"/>
            <w:vMerge/>
            <w:tcBorders>
              <w:top w:val="nil"/>
              <w:left w:val="nil"/>
              <w:bottom w:val="nil"/>
              <w:right w:val="nil"/>
            </w:tcBorders>
            <w:vAlign w:val="center"/>
          </w:tcPr>
          <w:p w:rsidR="008C46AC" w:rsidRPr="00C66B91" w:rsidRDefault="008C46AC" w:rsidP="008C46AC">
            <w:pPr>
              <w:rPr>
                <w:b/>
                <w:lang w:val="en-GB"/>
              </w:rPr>
            </w:pPr>
          </w:p>
        </w:tc>
        <w:tc>
          <w:tcPr>
            <w:tcW w:w="844" w:type="pct"/>
            <w:tcBorders>
              <w:top w:val="single" w:sz="4" w:space="0" w:color="auto"/>
              <w:left w:val="nil"/>
              <w:bottom w:val="nil"/>
              <w:right w:val="nil"/>
            </w:tcBorders>
          </w:tcPr>
          <w:p w:rsidR="008C46AC" w:rsidRPr="00C66B91" w:rsidRDefault="008C46AC" w:rsidP="008C46AC">
            <w:pPr>
              <w:jc w:val="center"/>
              <w:rPr>
                <w:b/>
                <w:lang w:val="en-GB"/>
              </w:rPr>
            </w:pPr>
            <w:r w:rsidRPr="00C66B91">
              <w:rPr>
                <w:b/>
                <w:sz w:val="22"/>
                <w:szCs w:val="22"/>
                <w:lang w:val="en-GB"/>
              </w:rPr>
              <w:t>BGN’000</w:t>
            </w:r>
          </w:p>
        </w:tc>
        <w:tc>
          <w:tcPr>
            <w:tcW w:w="952" w:type="pct"/>
            <w:tcBorders>
              <w:top w:val="single" w:sz="4" w:space="0" w:color="auto"/>
              <w:left w:val="nil"/>
              <w:bottom w:val="nil"/>
              <w:right w:val="nil"/>
            </w:tcBorders>
          </w:tcPr>
          <w:p w:rsidR="008C46AC" w:rsidRPr="00C66B91" w:rsidRDefault="008C46AC" w:rsidP="008C46AC">
            <w:pPr>
              <w:jc w:val="center"/>
              <w:rPr>
                <w:b/>
                <w:lang w:val="en-GB"/>
              </w:rPr>
            </w:pPr>
            <w:r w:rsidRPr="00C66B91">
              <w:rPr>
                <w:b/>
                <w:sz w:val="22"/>
                <w:szCs w:val="22"/>
                <w:lang w:val="en-GB"/>
              </w:rPr>
              <w:t>BGN’000</w:t>
            </w:r>
          </w:p>
        </w:tc>
      </w:tr>
      <w:tr w:rsidR="008C46AC" w:rsidRPr="00C66B91" w:rsidTr="008C46AC">
        <w:trPr>
          <w:trHeight w:val="285"/>
        </w:trPr>
        <w:tc>
          <w:tcPr>
            <w:tcW w:w="3204" w:type="pct"/>
            <w:tcBorders>
              <w:top w:val="nil"/>
              <w:left w:val="nil"/>
              <w:bottom w:val="nil"/>
              <w:right w:val="nil"/>
            </w:tcBorders>
            <w:vAlign w:val="center"/>
          </w:tcPr>
          <w:p w:rsidR="008C46AC" w:rsidRPr="00C66B91" w:rsidRDefault="008C46AC" w:rsidP="008C46AC">
            <w:pPr>
              <w:rPr>
                <w:lang w:val="en-GB"/>
              </w:rPr>
            </w:pPr>
          </w:p>
        </w:tc>
        <w:tc>
          <w:tcPr>
            <w:tcW w:w="844" w:type="pct"/>
            <w:tcBorders>
              <w:left w:val="nil"/>
              <w:right w:val="nil"/>
            </w:tcBorders>
            <w:tcMar>
              <w:right w:w="284" w:type="dxa"/>
            </w:tcMar>
            <w:vAlign w:val="center"/>
          </w:tcPr>
          <w:p w:rsidR="008C46AC" w:rsidRPr="00C66B91" w:rsidRDefault="008C46AC" w:rsidP="008C46AC">
            <w:pPr>
              <w:jc w:val="right"/>
              <w:rPr>
                <w:lang w:val="en-GB"/>
              </w:rPr>
            </w:pPr>
          </w:p>
        </w:tc>
        <w:tc>
          <w:tcPr>
            <w:tcW w:w="952" w:type="pct"/>
            <w:tcBorders>
              <w:left w:val="nil"/>
              <w:right w:val="nil"/>
            </w:tcBorders>
            <w:vAlign w:val="center"/>
          </w:tcPr>
          <w:p w:rsidR="008C46AC" w:rsidRPr="00C66B91" w:rsidRDefault="008C46AC" w:rsidP="008C46AC">
            <w:pPr>
              <w:jc w:val="right"/>
              <w:rPr>
                <w:lang w:val="en-GB"/>
              </w:rPr>
            </w:pPr>
          </w:p>
        </w:tc>
      </w:tr>
      <w:tr w:rsidR="000C50F4" w:rsidRPr="00C66B91" w:rsidTr="008C46AC">
        <w:trPr>
          <w:trHeight w:val="285"/>
        </w:trPr>
        <w:tc>
          <w:tcPr>
            <w:tcW w:w="3204" w:type="pct"/>
            <w:tcBorders>
              <w:top w:val="nil"/>
              <w:left w:val="nil"/>
              <w:bottom w:val="nil"/>
              <w:right w:val="nil"/>
            </w:tcBorders>
            <w:vAlign w:val="center"/>
          </w:tcPr>
          <w:p w:rsidR="000C50F4" w:rsidRPr="005E30E6" w:rsidRDefault="000C50F4" w:rsidP="000C50F4">
            <w:r w:rsidRPr="005E30E6">
              <w:rPr>
                <w:sz w:val="22"/>
                <w:szCs w:val="22"/>
              </w:rPr>
              <w:t>Payables under received loans from banks, incl.:</w:t>
            </w:r>
          </w:p>
        </w:tc>
        <w:tc>
          <w:tcPr>
            <w:tcW w:w="844" w:type="pct"/>
            <w:tcBorders>
              <w:left w:val="nil"/>
              <w:bottom w:val="single" w:sz="4" w:space="0" w:color="auto"/>
              <w:right w:val="nil"/>
            </w:tcBorders>
            <w:tcMar>
              <w:right w:w="284" w:type="dxa"/>
            </w:tcMar>
            <w:vAlign w:val="bottom"/>
          </w:tcPr>
          <w:p w:rsidR="000C50F4" w:rsidRPr="00C66B91" w:rsidRDefault="000C50F4" w:rsidP="000C50F4">
            <w:pPr>
              <w:jc w:val="right"/>
              <w:rPr>
                <w:lang w:val="en-GB"/>
              </w:rPr>
            </w:pPr>
            <w:r w:rsidRPr="00C66B91">
              <w:rPr>
                <w:sz w:val="22"/>
                <w:szCs w:val="22"/>
                <w:lang w:val="en-GB"/>
              </w:rPr>
              <w:t>6,789</w:t>
            </w:r>
          </w:p>
        </w:tc>
        <w:tc>
          <w:tcPr>
            <w:tcW w:w="952" w:type="pct"/>
            <w:tcBorders>
              <w:left w:val="nil"/>
              <w:bottom w:val="single" w:sz="4" w:space="0" w:color="auto"/>
              <w:right w:val="nil"/>
            </w:tcBorders>
            <w:vAlign w:val="bottom"/>
          </w:tcPr>
          <w:p w:rsidR="000C50F4" w:rsidRPr="00C66B91" w:rsidRDefault="000C50F4" w:rsidP="000C50F4">
            <w:pPr>
              <w:jc w:val="right"/>
              <w:rPr>
                <w:lang w:val="en-GB"/>
              </w:rPr>
            </w:pPr>
            <w:r w:rsidRPr="00C66B91">
              <w:rPr>
                <w:sz w:val="22"/>
                <w:szCs w:val="22"/>
                <w:lang w:val="en-GB"/>
              </w:rPr>
              <w:t>5,710</w:t>
            </w:r>
          </w:p>
        </w:tc>
      </w:tr>
      <w:tr w:rsidR="000C50F4" w:rsidRPr="00C66B91" w:rsidTr="008C46AC">
        <w:trPr>
          <w:trHeight w:val="285"/>
        </w:trPr>
        <w:tc>
          <w:tcPr>
            <w:tcW w:w="3204" w:type="pct"/>
            <w:tcBorders>
              <w:top w:val="nil"/>
              <w:left w:val="nil"/>
              <w:bottom w:val="nil"/>
              <w:right w:val="nil"/>
            </w:tcBorders>
            <w:vAlign w:val="center"/>
          </w:tcPr>
          <w:p w:rsidR="000C50F4" w:rsidRPr="005E30E6" w:rsidRDefault="000C50F4" w:rsidP="000C50F4"/>
        </w:tc>
        <w:tc>
          <w:tcPr>
            <w:tcW w:w="844" w:type="pct"/>
            <w:tcBorders>
              <w:top w:val="single" w:sz="4" w:space="0" w:color="auto"/>
              <w:left w:val="nil"/>
              <w:right w:val="nil"/>
            </w:tcBorders>
            <w:tcMar>
              <w:right w:w="284" w:type="dxa"/>
            </w:tcMar>
            <w:vAlign w:val="bottom"/>
          </w:tcPr>
          <w:p w:rsidR="000C50F4" w:rsidRPr="00C66B91" w:rsidRDefault="000C50F4" w:rsidP="000C50F4">
            <w:pPr>
              <w:jc w:val="right"/>
              <w:rPr>
                <w:lang w:val="en-GB"/>
              </w:rPr>
            </w:pPr>
          </w:p>
        </w:tc>
        <w:tc>
          <w:tcPr>
            <w:tcW w:w="952" w:type="pct"/>
            <w:tcBorders>
              <w:top w:val="single" w:sz="4" w:space="0" w:color="auto"/>
              <w:left w:val="nil"/>
              <w:right w:val="nil"/>
            </w:tcBorders>
            <w:vAlign w:val="bottom"/>
          </w:tcPr>
          <w:p w:rsidR="000C50F4" w:rsidRPr="00C66B91" w:rsidRDefault="000C50F4" w:rsidP="000C50F4">
            <w:pPr>
              <w:jc w:val="right"/>
              <w:rPr>
                <w:lang w:val="en-GB"/>
              </w:rPr>
            </w:pPr>
          </w:p>
        </w:tc>
      </w:tr>
      <w:tr w:rsidR="000C50F4" w:rsidRPr="00C66B91" w:rsidTr="008C46AC">
        <w:trPr>
          <w:trHeight w:val="285"/>
        </w:trPr>
        <w:tc>
          <w:tcPr>
            <w:tcW w:w="3204" w:type="pct"/>
            <w:tcBorders>
              <w:top w:val="nil"/>
              <w:left w:val="nil"/>
              <w:bottom w:val="nil"/>
              <w:right w:val="nil"/>
            </w:tcBorders>
            <w:vAlign w:val="center"/>
          </w:tcPr>
          <w:p w:rsidR="000C50F4" w:rsidRPr="005E30E6" w:rsidRDefault="000C50F4" w:rsidP="000C50F4">
            <w:pPr>
              <w:rPr>
                <w:i/>
              </w:rPr>
            </w:pPr>
            <w:r w:rsidRPr="005E30E6">
              <w:rPr>
                <w:i/>
                <w:sz w:val="22"/>
                <w:szCs w:val="22"/>
              </w:rPr>
              <w:t>- short-term part, incl.:</w:t>
            </w:r>
          </w:p>
        </w:tc>
        <w:tc>
          <w:tcPr>
            <w:tcW w:w="844" w:type="pct"/>
            <w:tcBorders>
              <w:left w:val="nil"/>
              <w:right w:val="nil"/>
            </w:tcBorders>
            <w:tcMar>
              <w:right w:w="284" w:type="dxa"/>
            </w:tcMar>
            <w:vAlign w:val="bottom"/>
          </w:tcPr>
          <w:p w:rsidR="000C50F4" w:rsidRPr="00C66B91" w:rsidRDefault="000C50F4" w:rsidP="000C50F4">
            <w:pPr>
              <w:jc w:val="right"/>
              <w:rPr>
                <w:i/>
                <w:lang w:val="en-GB"/>
              </w:rPr>
            </w:pPr>
            <w:r w:rsidRPr="00C66B91">
              <w:rPr>
                <w:i/>
                <w:sz w:val="22"/>
                <w:szCs w:val="22"/>
                <w:lang w:val="en-GB"/>
              </w:rPr>
              <w:t>1,823</w:t>
            </w:r>
          </w:p>
        </w:tc>
        <w:tc>
          <w:tcPr>
            <w:tcW w:w="952" w:type="pct"/>
            <w:tcBorders>
              <w:left w:val="nil"/>
              <w:right w:val="nil"/>
            </w:tcBorders>
            <w:vAlign w:val="bottom"/>
          </w:tcPr>
          <w:p w:rsidR="000C50F4" w:rsidRPr="00C66B91" w:rsidRDefault="000C50F4" w:rsidP="000C50F4">
            <w:pPr>
              <w:jc w:val="right"/>
              <w:rPr>
                <w:i/>
                <w:lang w:val="en-GB"/>
              </w:rPr>
            </w:pPr>
            <w:r w:rsidRPr="00C66B91">
              <w:rPr>
                <w:i/>
                <w:sz w:val="22"/>
                <w:szCs w:val="22"/>
                <w:lang w:val="en-GB"/>
              </w:rPr>
              <w:t>1,299</w:t>
            </w:r>
          </w:p>
        </w:tc>
      </w:tr>
      <w:tr w:rsidR="000C50F4" w:rsidRPr="00C66B91" w:rsidTr="008C46AC">
        <w:trPr>
          <w:trHeight w:val="285"/>
        </w:trPr>
        <w:tc>
          <w:tcPr>
            <w:tcW w:w="3204" w:type="pct"/>
            <w:tcBorders>
              <w:top w:val="nil"/>
              <w:left w:val="nil"/>
              <w:bottom w:val="nil"/>
              <w:right w:val="nil"/>
            </w:tcBorders>
            <w:vAlign w:val="center"/>
          </w:tcPr>
          <w:p w:rsidR="000C50F4" w:rsidRPr="005E30E6" w:rsidRDefault="000C50F4" w:rsidP="000C50F4">
            <w:pPr>
              <w:pStyle w:val="ListParagraph"/>
              <w:numPr>
                <w:ilvl w:val="0"/>
                <w:numId w:val="33"/>
              </w:numPr>
              <w:contextualSpacing/>
            </w:pPr>
            <w:r w:rsidRPr="005E30E6">
              <w:rPr>
                <w:sz w:val="22"/>
                <w:szCs w:val="22"/>
              </w:rPr>
              <w:t>Principal</w:t>
            </w:r>
          </w:p>
        </w:tc>
        <w:tc>
          <w:tcPr>
            <w:tcW w:w="844" w:type="pct"/>
            <w:tcBorders>
              <w:left w:val="nil"/>
              <w:right w:val="nil"/>
            </w:tcBorders>
            <w:tcMar>
              <w:right w:w="284" w:type="dxa"/>
            </w:tcMar>
            <w:vAlign w:val="bottom"/>
          </w:tcPr>
          <w:p w:rsidR="000C50F4" w:rsidRPr="00C66B91" w:rsidRDefault="000C50F4" w:rsidP="000C50F4">
            <w:pPr>
              <w:jc w:val="right"/>
              <w:rPr>
                <w:lang w:val="en-GB"/>
              </w:rPr>
            </w:pPr>
            <w:r w:rsidRPr="00C66B91">
              <w:rPr>
                <w:sz w:val="22"/>
                <w:szCs w:val="22"/>
                <w:lang w:val="en-GB"/>
              </w:rPr>
              <w:t>1,823</w:t>
            </w:r>
          </w:p>
        </w:tc>
        <w:tc>
          <w:tcPr>
            <w:tcW w:w="952" w:type="pct"/>
            <w:tcBorders>
              <w:left w:val="nil"/>
              <w:right w:val="nil"/>
            </w:tcBorders>
            <w:vAlign w:val="bottom"/>
          </w:tcPr>
          <w:p w:rsidR="000C50F4" w:rsidRPr="00C66B91" w:rsidRDefault="000C50F4" w:rsidP="000C50F4">
            <w:pPr>
              <w:jc w:val="right"/>
              <w:rPr>
                <w:lang w:val="en-GB"/>
              </w:rPr>
            </w:pPr>
            <w:r w:rsidRPr="00C66B91">
              <w:rPr>
                <w:sz w:val="22"/>
                <w:szCs w:val="22"/>
                <w:lang w:val="en-GB"/>
              </w:rPr>
              <w:t>1,294</w:t>
            </w:r>
          </w:p>
        </w:tc>
      </w:tr>
      <w:tr w:rsidR="000C50F4" w:rsidRPr="00C66B91" w:rsidTr="008C46AC">
        <w:trPr>
          <w:trHeight w:val="285"/>
        </w:trPr>
        <w:tc>
          <w:tcPr>
            <w:tcW w:w="3204" w:type="pct"/>
            <w:tcBorders>
              <w:top w:val="nil"/>
              <w:left w:val="nil"/>
              <w:bottom w:val="nil"/>
              <w:right w:val="nil"/>
            </w:tcBorders>
            <w:vAlign w:val="center"/>
          </w:tcPr>
          <w:p w:rsidR="000C50F4" w:rsidRPr="005E30E6" w:rsidRDefault="000C50F4" w:rsidP="000C50F4">
            <w:pPr>
              <w:pStyle w:val="ListParagraph"/>
              <w:numPr>
                <w:ilvl w:val="0"/>
                <w:numId w:val="33"/>
              </w:numPr>
              <w:contextualSpacing/>
            </w:pPr>
            <w:r w:rsidRPr="005E30E6">
              <w:rPr>
                <w:sz w:val="22"/>
                <w:szCs w:val="22"/>
              </w:rPr>
              <w:t>interest</w:t>
            </w:r>
          </w:p>
        </w:tc>
        <w:tc>
          <w:tcPr>
            <w:tcW w:w="844" w:type="pct"/>
            <w:tcBorders>
              <w:left w:val="nil"/>
              <w:right w:val="nil"/>
            </w:tcBorders>
            <w:tcMar>
              <w:right w:w="284" w:type="dxa"/>
            </w:tcMar>
            <w:vAlign w:val="bottom"/>
          </w:tcPr>
          <w:p w:rsidR="000C50F4" w:rsidRPr="00C66B91" w:rsidRDefault="000C50F4" w:rsidP="000C50F4">
            <w:pPr>
              <w:jc w:val="right"/>
              <w:rPr>
                <w:lang w:val="en-GB"/>
              </w:rPr>
            </w:pPr>
            <w:r w:rsidRPr="00C66B91">
              <w:rPr>
                <w:lang w:val="en-GB"/>
              </w:rPr>
              <w:t>-</w:t>
            </w:r>
          </w:p>
        </w:tc>
        <w:tc>
          <w:tcPr>
            <w:tcW w:w="952" w:type="pct"/>
            <w:tcBorders>
              <w:left w:val="nil"/>
              <w:right w:val="nil"/>
            </w:tcBorders>
            <w:vAlign w:val="bottom"/>
          </w:tcPr>
          <w:p w:rsidR="000C50F4" w:rsidRPr="00C66B91" w:rsidRDefault="000C50F4" w:rsidP="000C50F4">
            <w:pPr>
              <w:jc w:val="right"/>
              <w:rPr>
                <w:lang w:val="en-GB"/>
              </w:rPr>
            </w:pPr>
            <w:r w:rsidRPr="00C66B91">
              <w:rPr>
                <w:sz w:val="22"/>
                <w:szCs w:val="22"/>
                <w:lang w:val="en-GB"/>
              </w:rPr>
              <w:t>5</w:t>
            </w:r>
          </w:p>
        </w:tc>
      </w:tr>
      <w:tr w:rsidR="000C50F4" w:rsidRPr="00C66B91" w:rsidTr="008C46AC">
        <w:trPr>
          <w:trHeight w:val="285"/>
        </w:trPr>
        <w:tc>
          <w:tcPr>
            <w:tcW w:w="3204" w:type="pct"/>
            <w:tcBorders>
              <w:top w:val="nil"/>
              <w:left w:val="nil"/>
              <w:bottom w:val="nil"/>
              <w:right w:val="nil"/>
            </w:tcBorders>
            <w:vAlign w:val="center"/>
          </w:tcPr>
          <w:p w:rsidR="000C50F4" w:rsidRPr="005E30E6" w:rsidRDefault="000C50F4" w:rsidP="000C50F4">
            <w:pPr>
              <w:rPr>
                <w:i/>
              </w:rPr>
            </w:pPr>
            <w:r w:rsidRPr="005E30E6">
              <w:rPr>
                <w:i/>
                <w:sz w:val="22"/>
                <w:szCs w:val="22"/>
              </w:rPr>
              <w:t>- long-term part, incl.:</w:t>
            </w:r>
          </w:p>
        </w:tc>
        <w:tc>
          <w:tcPr>
            <w:tcW w:w="844" w:type="pct"/>
            <w:tcBorders>
              <w:left w:val="nil"/>
              <w:right w:val="nil"/>
            </w:tcBorders>
            <w:tcMar>
              <w:right w:w="284" w:type="dxa"/>
            </w:tcMar>
            <w:vAlign w:val="bottom"/>
          </w:tcPr>
          <w:p w:rsidR="000C50F4" w:rsidRPr="00C66B91" w:rsidRDefault="000C50F4" w:rsidP="000C50F4">
            <w:pPr>
              <w:jc w:val="right"/>
              <w:rPr>
                <w:i/>
                <w:lang w:val="en-GB"/>
              </w:rPr>
            </w:pPr>
            <w:r w:rsidRPr="00C66B91">
              <w:rPr>
                <w:i/>
                <w:sz w:val="22"/>
                <w:szCs w:val="22"/>
                <w:lang w:val="en-GB"/>
              </w:rPr>
              <w:t>4,966</w:t>
            </w:r>
          </w:p>
        </w:tc>
        <w:tc>
          <w:tcPr>
            <w:tcW w:w="952" w:type="pct"/>
            <w:tcBorders>
              <w:left w:val="nil"/>
              <w:right w:val="nil"/>
            </w:tcBorders>
            <w:vAlign w:val="bottom"/>
          </w:tcPr>
          <w:p w:rsidR="000C50F4" w:rsidRPr="00C66B91" w:rsidRDefault="000C50F4" w:rsidP="000C50F4">
            <w:pPr>
              <w:jc w:val="right"/>
              <w:rPr>
                <w:i/>
                <w:lang w:val="en-GB"/>
              </w:rPr>
            </w:pPr>
            <w:r w:rsidRPr="00C66B91">
              <w:rPr>
                <w:i/>
                <w:sz w:val="22"/>
                <w:szCs w:val="22"/>
                <w:lang w:val="en-GB"/>
              </w:rPr>
              <w:t>4,411</w:t>
            </w:r>
          </w:p>
        </w:tc>
      </w:tr>
      <w:tr w:rsidR="000C50F4" w:rsidRPr="00C66B91" w:rsidTr="008C46AC">
        <w:trPr>
          <w:trHeight w:val="285"/>
        </w:trPr>
        <w:tc>
          <w:tcPr>
            <w:tcW w:w="3204" w:type="pct"/>
            <w:tcBorders>
              <w:top w:val="nil"/>
              <w:left w:val="nil"/>
              <w:bottom w:val="nil"/>
              <w:right w:val="nil"/>
            </w:tcBorders>
            <w:vAlign w:val="center"/>
          </w:tcPr>
          <w:p w:rsidR="000C50F4" w:rsidRPr="005E30E6" w:rsidRDefault="000C50F4" w:rsidP="000C50F4">
            <w:pPr>
              <w:pStyle w:val="ListParagraph"/>
              <w:numPr>
                <w:ilvl w:val="0"/>
                <w:numId w:val="33"/>
              </w:numPr>
              <w:contextualSpacing/>
            </w:pPr>
            <w:r w:rsidRPr="005E30E6">
              <w:rPr>
                <w:sz w:val="22"/>
                <w:szCs w:val="22"/>
              </w:rPr>
              <w:t>principal</w:t>
            </w:r>
          </w:p>
        </w:tc>
        <w:tc>
          <w:tcPr>
            <w:tcW w:w="844" w:type="pct"/>
            <w:tcBorders>
              <w:left w:val="nil"/>
              <w:right w:val="nil"/>
            </w:tcBorders>
            <w:tcMar>
              <w:right w:w="284" w:type="dxa"/>
            </w:tcMar>
            <w:vAlign w:val="bottom"/>
          </w:tcPr>
          <w:p w:rsidR="000C50F4" w:rsidRPr="00C66B91" w:rsidRDefault="000C50F4" w:rsidP="000C50F4">
            <w:pPr>
              <w:jc w:val="right"/>
              <w:rPr>
                <w:lang w:val="en-GB"/>
              </w:rPr>
            </w:pPr>
            <w:r w:rsidRPr="00C66B91">
              <w:rPr>
                <w:sz w:val="22"/>
                <w:szCs w:val="22"/>
                <w:lang w:val="en-GB"/>
              </w:rPr>
              <w:t>4,966</w:t>
            </w:r>
          </w:p>
        </w:tc>
        <w:tc>
          <w:tcPr>
            <w:tcW w:w="952" w:type="pct"/>
            <w:tcBorders>
              <w:left w:val="nil"/>
              <w:right w:val="nil"/>
            </w:tcBorders>
            <w:vAlign w:val="bottom"/>
          </w:tcPr>
          <w:p w:rsidR="000C50F4" w:rsidRPr="00C66B91" w:rsidRDefault="000C50F4" w:rsidP="000C50F4">
            <w:pPr>
              <w:jc w:val="right"/>
              <w:rPr>
                <w:lang w:val="en-GB"/>
              </w:rPr>
            </w:pPr>
            <w:r w:rsidRPr="00C66B91">
              <w:rPr>
                <w:sz w:val="22"/>
                <w:szCs w:val="22"/>
                <w:lang w:val="en-GB"/>
              </w:rPr>
              <w:t>4,411</w:t>
            </w:r>
          </w:p>
        </w:tc>
      </w:tr>
      <w:tr w:rsidR="000C50F4" w:rsidRPr="00C66B91" w:rsidTr="008C46AC">
        <w:trPr>
          <w:trHeight w:val="285"/>
        </w:trPr>
        <w:tc>
          <w:tcPr>
            <w:tcW w:w="3204" w:type="pct"/>
            <w:tcBorders>
              <w:top w:val="nil"/>
              <w:left w:val="nil"/>
              <w:bottom w:val="nil"/>
              <w:right w:val="nil"/>
            </w:tcBorders>
            <w:vAlign w:val="center"/>
          </w:tcPr>
          <w:p w:rsidR="000C50F4" w:rsidRPr="005E30E6" w:rsidRDefault="000C50F4" w:rsidP="000C50F4">
            <w:pPr>
              <w:jc w:val="right"/>
              <w:rPr>
                <w:b/>
              </w:rPr>
            </w:pPr>
            <w:r w:rsidRPr="005E30E6">
              <w:rPr>
                <w:b/>
                <w:sz w:val="22"/>
                <w:szCs w:val="22"/>
              </w:rPr>
              <w:t>Total</w:t>
            </w:r>
          </w:p>
        </w:tc>
        <w:tc>
          <w:tcPr>
            <w:tcW w:w="844" w:type="pct"/>
            <w:tcBorders>
              <w:top w:val="single" w:sz="4" w:space="0" w:color="auto"/>
              <w:left w:val="nil"/>
              <w:bottom w:val="double" w:sz="6" w:space="0" w:color="auto"/>
              <w:right w:val="nil"/>
            </w:tcBorders>
            <w:tcMar>
              <w:right w:w="284" w:type="dxa"/>
            </w:tcMar>
            <w:vAlign w:val="bottom"/>
          </w:tcPr>
          <w:p w:rsidR="000C50F4" w:rsidRPr="00C66B91" w:rsidRDefault="000C50F4" w:rsidP="000C50F4">
            <w:pPr>
              <w:jc w:val="right"/>
              <w:rPr>
                <w:b/>
                <w:lang w:val="en-GB"/>
              </w:rPr>
            </w:pPr>
            <w:r w:rsidRPr="00C66B91">
              <w:rPr>
                <w:b/>
                <w:sz w:val="22"/>
                <w:szCs w:val="22"/>
                <w:lang w:val="en-GB"/>
              </w:rPr>
              <w:t>6,789</w:t>
            </w:r>
          </w:p>
        </w:tc>
        <w:tc>
          <w:tcPr>
            <w:tcW w:w="952" w:type="pct"/>
            <w:tcBorders>
              <w:top w:val="single" w:sz="4" w:space="0" w:color="auto"/>
              <w:left w:val="nil"/>
              <w:bottom w:val="double" w:sz="6" w:space="0" w:color="auto"/>
              <w:right w:val="nil"/>
            </w:tcBorders>
            <w:vAlign w:val="bottom"/>
          </w:tcPr>
          <w:p w:rsidR="000C50F4" w:rsidRPr="00C66B91" w:rsidRDefault="000C50F4" w:rsidP="000C50F4">
            <w:pPr>
              <w:jc w:val="right"/>
              <w:rPr>
                <w:b/>
                <w:lang w:val="en-GB"/>
              </w:rPr>
            </w:pPr>
            <w:r w:rsidRPr="00C66B91">
              <w:rPr>
                <w:b/>
                <w:sz w:val="22"/>
                <w:szCs w:val="22"/>
                <w:lang w:val="en-GB"/>
              </w:rPr>
              <w:t>5,710</w:t>
            </w:r>
          </w:p>
        </w:tc>
      </w:tr>
    </w:tbl>
    <w:p w:rsidR="00E922D1" w:rsidRPr="00C66B91" w:rsidRDefault="00E922D1" w:rsidP="00E922D1">
      <w:pPr>
        <w:ind w:right="-75"/>
        <w:jc w:val="both"/>
        <w:rPr>
          <w:b/>
          <w:sz w:val="22"/>
          <w:szCs w:val="22"/>
          <w:lang w:val="en-GB"/>
        </w:rPr>
      </w:pPr>
    </w:p>
    <w:p w:rsidR="000C50F4" w:rsidRPr="000C50F4" w:rsidRDefault="000C50F4" w:rsidP="000C50F4">
      <w:pPr>
        <w:tabs>
          <w:tab w:val="num" w:pos="1080"/>
        </w:tabs>
        <w:autoSpaceDE w:val="0"/>
        <w:autoSpaceDN w:val="0"/>
        <w:adjustRightInd w:val="0"/>
        <w:rPr>
          <w:b/>
          <w:sz w:val="22"/>
          <w:szCs w:val="22"/>
          <w:lang w:val="en-GB"/>
        </w:rPr>
      </w:pPr>
      <w:r w:rsidRPr="000C50F4">
        <w:rPr>
          <w:b/>
          <w:sz w:val="22"/>
          <w:szCs w:val="22"/>
          <w:lang w:val="en-GB"/>
        </w:rPr>
        <w:t xml:space="preserve">12.  TRADE AND OTHER PAYABLES </w:t>
      </w:r>
    </w:p>
    <w:p w:rsidR="000C50F4" w:rsidRPr="000C50F4" w:rsidRDefault="000C50F4" w:rsidP="000C50F4">
      <w:pPr>
        <w:tabs>
          <w:tab w:val="num" w:pos="1080"/>
        </w:tabs>
        <w:autoSpaceDE w:val="0"/>
        <w:autoSpaceDN w:val="0"/>
        <w:adjustRightInd w:val="0"/>
        <w:rPr>
          <w:b/>
          <w:sz w:val="22"/>
          <w:szCs w:val="22"/>
          <w:lang w:val="en-GB"/>
        </w:rPr>
      </w:pPr>
    </w:p>
    <w:p w:rsidR="00E922D1" w:rsidRPr="000C50F4" w:rsidRDefault="000C50F4" w:rsidP="000C50F4">
      <w:pPr>
        <w:tabs>
          <w:tab w:val="num" w:pos="1080"/>
        </w:tabs>
        <w:autoSpaceDE w:val="0"/>
        <w:autoSpaceDN w:val="0"/>
        <w:adjustRightInd w:val="0"/>
        <w:rPr>
          <w:sz w:val="22"/>
          <w:szCs w:val="22"/>
          <w:lang w:val="en-GB"/>
        </w:rPr>
      </w:pPr>
      <w:r w:rsidRPr="000C50F4">
        <w:rPr>
          <w:sz w:val="22"/>
          <w:szCs w:val="22"/>
          <w:lang w:val="en-GB"/>
        </w:rPr>
        <w:t xml:space="preserve">As </w:t>
      </w:r>
      <w:r>
        <w:rPr>
          <w:sz w:val="22"/>
          <w:szCs w:val="22"/>
          <w:lang w:val="en-GB"/>
        </w:rPr>
        <w:t>of</w:t>
      </w:r>
      <w:r w:rsidRPr="000C50F4">
        <w:rPr>
          <w:sz w:val="22"/>
          <w:szCs w:val="22"/>
          <w:lang w:val="en-GB"/>
        </w:rPr>
        <w:t xml:space="preserve"> 3</w:t>
      </w:r>
      <w:r>
        <w:rPr>
          <w:sz w:val="22"/>
          <w:szCs w:val="22"/>
          <w:lang w:val="en-GB"/>
        </w:rPr>
        <w:t>0</w:t>
      </w:r>
      <w:r w:rsidRPr="000C50F4">
        <w:rPr>
          <w:sz w:val="22"/>
          <w:szCs w:val="22"/>
          <w:lang w:val="en-GB"/>
        </w:rPr>
        <w:t xml:space="preserve"> </w:t>
      </w:r>
      <w:r>
        <w:rPr>
          <w:sz w:val="22"/>
          <w:szCs w:val="22"/>
          <w:lang w:val="en-GB"/>
        </w:rPr>
        <w:t>June 2015</w:t>
      </w:r>
      <w:r w:rsidRPr="000C50F4">
        <w:rPr>
          <w:sz w:val="22"/>
          <w:szCs w:val="22"/>
          <w:lang w:val="en-GB"/>
        </w:rPr>
        <w:t>, the trade and other payables include:</w:t>
      </w:r>
    </w:p>
    <w:tbl>
      <w:tblPr>
        <w:tblW w:w="4934" w:type="pct"/>
        <w:tblLook w:val="0000" w:firstRow="0" w:lastRow="0" w:firstColumn="0" w:lastColumn="0" w:noHBand="0" w:noVBand="0"/>
      </w:tblPr>
      <w:tblGrid>
        <w:gridCol w:w="5785"/>
        <w:gridCol w:w="1525"/>
        <w:gridCol w:w="1659"/>
      </w:tblGrid>
      <w:tr w:rsidR="00DB0455" w:rsidRPr="00C66B91" w:rsidTr="00DB0455">
        <w:trPr>
          <w:cantSplit/>
          <w:trHeight w:val="274"/>
        </w:trPr>
        <w:tc>
          <w:tcPr>
            <w:tcW w:w="3225" w:type="pct"/>
            <w:vMerge w:val="restart"/>
            <w:tcBorders>
              <w:top w:val="nil"/>
              <w:left w:val="nil"/>
              <w:bottom w:val="nil"/>
              <w:right w:val="nil"/>
            </w:tcBorders>
          </w:tcPr>
          <w:p w:rsidR="00DB0455" w:rsidRPr="00C66B91" w:rsidRDefault="00DB0455" w:rsidP="00DB0455">
            <w:pPr>
              <w:rPr>
                <w:b/>
                <w:lang w:val="en-GB"/>
              </w:rPr>
            </w:pPr>
          </w:p>
        </w:tc>
        <w:tc>
          <w:tcPr>
            <w:tcW w:w="850" w:type="pct"/>
            <w:tcBorders>
              <w:top w:val="nil"/>
              <w:left w:val="nil"/>
              <w:bottom w:val="single" w:sz="4" w:space="0" w:color="auto"/>
              <w:right w:val="nil"/>
            </w:tcBorders>
          </w:tcPr>
          <w:p w:rsidR="00DB0455" w:rsidRPr="00C66B91" w:rsidRDefault="008A588E" w:rsidP="00DB0455">
            <w:pPr>
              <w:jc w:val="center"/>
              <w:rPr>
                <w:b/>
                <w:lang w:val="en-GB"/>
              </w:rPr>
            </w:pPr>
            <w:r w:rsidRPr="00C66B91">
              <w:rPr>
                <w:b/>
                <w:sz w:val="22"/>
                <w:szCs w:val="22"/>
                <w:lang w:val="en-GB"/>
              </w:rPr>
              <w:t>30.06</w:t>
            </w:r>
            <w:r w:rsidR="00DB0455" w:rsidRPr="00C66B91">
              <w:rPr>
                <w:b/>
                <w:sz w:val="22"/>
                <w:szCs w:val="22"/>
                <w:lang w:val="en-GB"/>
              </w:rPr>
              <w:t>.2015</w:t>
            </w:r>
          </w:p>
        </w:tc>
        <w:tc>
          <w:tcPr>
            <w:tcW w:w="925" w:type="pct"/>
            <w:tcBorders>
              <w:top w:val="nil"/>
              <w:left w:val="nil"/>
              <w:bottom w:val="single" w:sz="4" w:space="0" w:color="auto"/>
              <w:right w:val="nil"/>
            </w:tcBorders>
          </w:tcPr>
          <w:p w:rsidR="00DB0455" w:rsidRPr="00C66B91" w:rsidRDefault="00DB0455" w:rsidP="00DB0455">
            <w:pPr>
              <w:jc w:val="center"/>
              <w:rPr>
                <w:b/>
                <w:lang w:val="en-GB"/>
              </w:rPr>
            </w:pPr>
            <w:r w:rsidRPr="00C66B91">
              <w:rPr>
                <w:b/>
                <w:sz w:val="22"/>
                <w:szCs w:val="22"/>
                <w:lang w:val="en-GB"/>
              </w:rPr>
              <w:t>31.12.2014</w:t>
            </w:r>
          </w:p>
        </w:tc>
      </w:tr>
      <w:tr w:rsidR="00DB0455" w:rsidRPr="00C66B91" w:rsidTr="00DB0455">
        <w:trPr>
          <w:cantSplit/>
          <w:trHeight w:val="274"/>
        </w:trPr>
        <w:tc>
          <w:tcPr>
            <w:tcW w:w="3225" w:type="pct"/>
            <w:vMerge/>
            <w:tcBorders>
              <w:top w:val="nil"/>
              <w:left w:val="nil"/>
              <w:bottom w:val="nil"/>
              <w:right w:val="nil"/>
            </w:tcBorders>
            <w:vAlign w:val="center"/>
          </w:tcPr>
          <w:p w:rsidR="00DB0455" w:rsidRPr="00C66B91" w:rsidRDefault="00DB0455" w:rsidP="00DB0455">
            <w:pPr>
              <w:rPr>
                <w:b/>
                <w:lang w:val="en-GB"/>
              </w:rPr>
            </w:pPr>
          </w:p>
        </w:tc>
        <w:tc>
          <w:tcPr>
            <w:tcW w:w="850" w:type="pct"/>
            <w:tcBorders>
              <w:top w:val="single" w:sz="4" w:space="0" w:color="auto"/>
              <w:left w:val="nil"/>
              <w:bottom w:val="nil"/>
              <w:right w:val="nil"/>
            </w:tcBorders>
          </w:tcPr>
          <w:p w:rsidR="00DB0455" w:rsidRPr="00C66B91" w:rsidRDefault="00DB0455" w:rsidP="00DB0455">
            <w:pPr>
              <w:jc w:val="center"/>
              <w:rPr>
                <w:b/>
                <w:lang w:val="en-GB"/>
              </w:rPr>
            </w:pPr>
            <w:r w:rsidRPr="00C66B91">
              <w:rPr>
                <w:b/>
                <w:sz w:val="22"/>
                <w:szCs w:val="22"/>
                <w:lang w:val="en-GB"/>
              </w:rPr>
              <w:t>BGN’000</w:t>
            </w:r>
          </w:p>
        </w:tc>
        <w:tc>
          <w:tcPr>
            <w:tcW w:w="925" w:type="pct"/>
            <w:tcBorders>
              <w:top w:val="single" w:sz="4" w:space="0" w:color="auto"/>
              <w:left w:val="nil"/>
              <w:bottom w:val="nil"/>
              <w:right w:val="nil"/>
            </w:tcBorders>
          </w:tcPr>
          <w:p w:rsidR="00DB0455" w:rsidRPr="00C66B91" w:rsidRDefault="00DB0455" w:rsidP="00DB0455">
            <w:pPr>
              <w:jc w:val="center"/>
              <w:rPr>
                <w:b/>
                <w:lang w:val="en-GB"/>
              </w:rPr>
            </w:pPr>
            <w:r w:rsidRPr="00C66B91">
              <w:rPr>
                <w:b/>
                <w:sz w:val="22"/>
                <w:szCs w:val="22"/>
                <w:lang w:val="en-GB"/>
              </w:rPr>
              <w:t>BGN’000</w:t>
            </w:r>
          </w:p>
        </w:tc>
      </w:tr>
      <w:tr w:rsidR="00DB0455" w:rsidRPr="00C66B91" w:rsidTr="00EE3CD4">
        <w:trPr>
          <w:trHeight w:val="80"/>
        </w:trPr>
        <w:tc>
          <w:tcPr>
            <w:tcW w:w="3225" w:type="pct"/>
            <w:tcBorders>
              <w:top w:val="nil"/>
              <w:left w:val="nil"/>
              <w:bottom w:val="nil"/>
              <w:right w:val="nil"/>
            </w:tcBorders>
            <w:vAlign w:val="center"/>
          </w:tcPr>
          <w:p w:rsidR="00DB0455" w:rsidRPr="00C66B91" w:rsidRDefault="00DB0455" w:rsidP="00DB0455">
            <w:pPr>
              <w:rPr>
                <w:sz w:val="16"/>
                <w:szCs w:val="16"/>
                <w:lang w:val="en-GB"/>
              </w:rPr>
            </w:pPr>
          </w:p>
        </w:tc>
        <w:tc>
          <w:tcPr>
            <w:tcW w:w="850" w:type="pct"/>
            <w:tcBorders>
              <w:left w:val="nil"/>
              <w:right w:val="nil"/>
            </w:tcBorders>
            <w:tcMar>
              <w:right w:w="284" w:type="dxa"/>
            </w:tcMar>
            <w:vAlign w:val="center"/>
          </w:tcPr>
          <w:p w:rsidR="00DB0455" w:rsidRPr="00C66B91" w:rsidRDefault="00DB0455" w:rsidP="00DB0455">
            <w:pPr>
              <w:jc w:val="right"/>
              <w:rPr>
                <w:sz w:val="16"/>
                <w:szCs w:val="16"/>
                <w:lang w:val="en-GB"/>
              </w:rPr>
            </w:pPr>
          </w:p>
        </w:tc>
        <w:tc>
          <w:tcPr>
            <w:tcW w:w="925" w:type="pct"/>
            <w:tcBorders>
              <w:left w:val="nil"/>
              <w:right w:val="nil"/>
            </w:tcBorders>
            <w:vAlign w:val="center"/>
          </w:tcPr>
          <w:p w:rsidR="00DB0455" w:rsidRPr="00C66B91" w:rsidRDefault="00DB0455" w:rsidP="00DB0455">
            <w:pPr>
              <w:jc w:val="right"/>
              <w:rPr>
                <w:sz w:val="16"/>
                <w:szCs w:val="16"/>
                <w:lang w:val="en-GB"/>
              </w:rPr>
            </w:pPr>
          </w:p>
        </w:tc>
      </w:tr>
      <w:tr w:rsidR="000C50F4" w:rsidRPr="00C66B91" w:rsidTr="00DB0455">
        <w:trPr>
          <w:trHeight w:val="274"/>
        </w:trPr>
        <w:tc>
          <w:tcPr>
            <w:tcW w:w="3225" w:type="pct"/>
            <w:tcBorders>
              <w:top w:val="nil"/>
              <w:left w:val="nil"/>
              <w:bottom w:val="nil"/>
              <w:right w:val="nil"/>
            </w:tcBorders>
          </w:tcPr>
          <w:p w:rsidR="000C50F4" w:rsidRPr="005E30E6" w:rsidRDefault="000C50F4" w:rsidP="000C50F4">
            <w:pPr>
              <w:jc w:val="both"/>
              <w:rPr>
                <w:color w:val="241E1C"/>
                <w:sz w:val="22"/>
                <w:szCs w:val="22"/>
              </w:rPr>
            </w:pPr>
            <w:r w:rsidRPr="005E30E6">
              <w:rPr>
                <w:color w:val="241E1C"/>
                <w:sz w:val="22"/>
                <w:szCs w:val="22"/>
              </w:rPr>
              <w:t>Trade payables</w:t>
            </w:r>
          </w:p>
        </w:tc>
        <w:tc>
          <w:tcPr>
            <w:tcW w:w="850" w:type="pct"/>
            <w:tcBorders>
              <w:left w:val="nil"/>
              <w:right w:val="nil"/>
            </w:tcBorders>
            <w:tcMar>
              <w:right w:w="284" w:type="dxa"/>
            </w:tcMar>
          </w:tcPr>
          <w:p w:rsidR="000C50F4" w:rsidRPr="00C66B91" w:rsidRDefault="000C50F4" w:rsidP="000C50F4">
            <w:pPr>
              <w:ind w:right="57"/>
              <w:jc w:val="right"/>
              <w:rPr>
                <w:color w:val="241E1C"/>
                <w:sz w:val="22"/>
                <w:szCs w:val="22"/>
                <w:lang w:val="en-GB"/>
              </w:rPr>
            </w:pPr>
            <w:r w:rsidRPr="00C66B91">
              <w:rPr>
                <w:color w:val="241E1C"/>
                <w:sz w:val="22"/>
                <w:szCs w:val="22"/>
                <w:lang w:val="en-GB"/>
              </w:rPr>
              <w:t>9,119</w:t>
            </w:r>
          </w:p>
        </w:tc>
        <w:tc>
          <w:tcPr>
            <w:tcW w:w="925" w:type="pct"/>
            <w:tcBorders>
              <w:left w:val="nil"/>
              <w:right w:val="nil"/>
            </w:tcBorders>
          </w:tcPr>
          <w:p w:rsidR="000C50F4" w:rsidRPr="00C66B91" w:rsidRDefault="000C50F4" w:rsidP="000C50F4">
            <w:pPr>
              <w:ind w:right="57"/>
              <w:jc w:val="right"/>
              <w:rPr>
                <w:color w:val="241E1C"/>
                <w:sz w:val="22"/>
                <w:szCs w:val="22"/>
                <w:lang w:val="en-GB"/>
              </w:rPr>
            </w:pPr>
            <w:r w:rsidRPr="00C66B91">
              <w:rPr>
                <w:color w:val="241E1C"/>
                <w:sz w:val="22"/>
                <w:szCs w:val="22"/>
                <w:lang w:val="en-GB"/>
              </w:rPr>
              <w:t>8,460</w:t>
            </w:r>
          </w:p>
        </w:tc>
      </w:tr>
      <w:tr w:rsidR="000C50F4" w:rsidRPr="00C66B91" w:rsidTr="00DB0455">
        <w:trPr>
          <w:trHeight w:val="274"/>
        </w:trPr>
        <w:tc>
          <w:tcPr>
            <w:tcW w:w="3225" w:type="pct"/>
            <w:tcBorders>
              <w:top w:val="nil"/>
              <w:left w:val="nil"/>
              <w:bottom w:val="nil"/>
              <w:right w:val="nil"/>
            </w:tcBorders>
          </w:tcPr>
          <w:p w:rsidR="000C50F4" w:rsidRPr="005E30E6" w:rsidRDefault="000C50F4" w:rsidP="000C50F4">
            <w:pPr>
              <w:jc w:val="both"/>
              <w:rPr>
                <w:color w:val="241E1C"/>
                <w:sz w:val="22"/>
                <w:szCs w:val="22"/>
              </w:rPr>
            </w:pPr>
            <w:r w:rsidRPr="005E30E6">
              <w:rPr>
                <w:color w:val="241E1C"/>
                <w:sz w:val="22"/>
                <w:szCs w:val="22"/>
              </w:rPr>
              <w:t>Payables to related parties (note 23)</w:t>
            </w:r>
          </w:p>
        </w:tc>
        <w:tc>
          <w:tcPr>
            <w:tcW w:w="850" w:type="pct"/>
            <w:tcBorders>
              <w:left w:val="nil"/>
              <w:right w:val="nil"/>
            </w:tcBorders>
            <w:tcMar>
              <w:right w:w="284" w:type="dxa"/>
            </w:tcMar>
          </w:tcPr>
          <w:p w:rsidR="000C50F4" w:rsidRPr="00C66B91" w:rsidRDefault="000C50F4" w:rsidP="000C50F4">
            <w:pPr>
              <w:ind w:right="57"/>
              <w:jc w:val="right"/>
              <w:rPr>
                <w:color w:val="241E1C"/>
                <w:sz w:val="22"/>
                <w:szCs w:val="22"/>
                <w:lang w:val="en-GB"/>
              </w:rPr>
            </w:pPr>
            <w:r w:rsidRPr="00C66B91">
              <w:rPr>
                <w:color w:val="241E1C"/>
                <w:sz w:val="22"/>
                <w:szCs w:val="22"/>
                <w:lang w:val="en-GB"/>
              </w:rPr>
              <w:t>3,542</w:t>
            </w:r>
          </w:p>
        </w:tc>
        <w:tc>
          <w:tcPr>
            <w:tcW w:w="925" w:type="pct"/>
            <w:tcBorders>
              <w:left w:val="nil"/>
              <w:right w:val="nil"/>
            </w:tcBorders>
          </w:tcPr>
          <w:p w:rsidR="000C50F4" w:rsidRPr="00C66B91" w:rsidRDefault="000C50F4" w:rsidP="000C50F4">
            <w:pPr>
              <w:ind w:right="57"/>
              <w:jc w:val="right"/>
              <w:rPr>
                <w:color w:val="241E1C"/>
                <w:sz w:val="22"/>
                <w:szCs w:val="22"/>
                <w:lang w:val="en-GB"/>
              </w:rPr>
            </w:pPr>
            <w:r w:rsidRPr="00C66B91">
              <w:rPr>
                <w:color w:val="241E1C"/>
                <w:sz w:val="22"/>
                <w:szCs w:val="22"/>
                <w:lang w:val="en-GB"/>
              </w:rPr>
              <w:t>2,620</w:t>
            </w:r>
          </w:p>
        </w:tc>
      </w:tr>
      <w:tr w:rsidR="000C50F4" w:rsidRPr="00C66B91" w:rsidTr="00DB0455">
        <w:trPr>
          <w:trHeight w:val="274"/>
        </w:trPr>
        <w:tc>
          <w:tcPr>
            <w:tcW w:w="3225" w:type="pct"/>
            <w:tcBorders>
              <w:top w:val="nil"/>
              <w:left w:val="nil"/>
              <w:bottom w:val="nil"/>
              <w:right w:val="nil"/>
            </w:tcBorders>
          </w:tcPr>
          <w:p w:rsidR="000C50F4" w:rsidRPr="005E30E6" w:rsidRDefault="000C50F4" w:rsidP="000C50F4">
            <w:pPr>
              <w:rPr>
                <w:color w:val="241E1C"/>
                <w:sz w:val="22"/>
                <w:szCs w:val="22"/>
              </w:rPr>
            </w:pPr>
            <w:r w:rsidRPr="005E30E6">
              <w:rPr>
                <w:color w:val="241E1C"/>
                <w:sz w:val="22"/>
                <w:szCs w:val="22"/>
              </w:rPr>
              <w:t>Payables to the staff</w:t>
            </w:r>
          </w:p>
        </w:tc>
        <w:tc>
          <w:tcPr>
            <w:tcW w:w="850" w:type="pct"/>
            <w:tcBorders>
              <w:left w:val="nil"/>
              <w:right w:val="nil"/>
            </w:tcBorders>
            <w:tcMar>
              <w:right w:w="284" w:type="dxa"/>
            </w:tcMar>
          </w:tcPr>
          <w:p w:rsidR="000C50F4" w:rsidRPr="00C66B91" w:rsidRDefault="000C50F4" w:rsidP="000C50F4">
            <w:pPr>
              <w:ind w:right="57"/>
              <w:jc w:val="right"/>
              <w:rPr>
                <w:bCs/>
                <w:spacing w:val="10"/>
                <w:sz w:val="22"/>
                <w:szCs w:val="22"/>
                <w:lang w:val="en-GB"/>
              </w:rPr>
            </w:pPr>
            <w:r w:rsidRPr="00C66B91">
              <w:rPr>
                <w:bCs/>
                <w:spacing w:val="10"/>
                <w:sz w:val="22"/>
                <w:szCs w:val="22"/>
                <w:lang w:val="en-GB"/>
              </w:rPr>
              <w:t>2,095</w:t>
            </w:r>
          </w:p>
        </w:tc>
        <w:tc>
          <w:tcPr>
            <w:tcW w:w="925" w:type="pct"/>
            <w:tcBorders>
              <w:left w:val="nil"/>
              <w:right w:val="nil"/>
            </w:tcBorders>
          </w:tcPr>
          <w:p w:rsidR="000C50F4" w:rsidRPr="00C66B91" w:rsidRDefault="000C50F4" w:rsidP="000C50F4">
            <w:pPr>
              <w:ind w:right="57"/>
              <w:jc w:val="right"/>
              <w:rPr>
                <w:bCs/>
                <w:spacing w:val="10"/>
                <w:sz w:val="22"/>
                <w:szCs w:val="22"/>
                <w:lang w:val="en-GB"/>
              </w:rPr>
            </w:pPr>
            <w:r w:rsidRPr="00C66B91">
              <w:rPr>
                <w:bCs/>
                <w:spacing w:val="10"/>
                <w:sz w:val="22"/>
                <w:szCs w:val="22"/>
                <w:lang w:val="en-GB"/>
              </w:rPr>
              <w:t>2,597</w:t>
            </w:r>
          </w:p>
        </w:tc>
      </w:tr>
      <w:tr w:rsidR="000C50F4" w:rsidRPr="00C66B91" w:rsidTr="00DB0455">
        <w:trPr>
          <w:trHeight w:val="274"/>
        </w:trPr>
        <w:tc>
          <w:tcPr>
            <w:tcW w:w="3225" w:type="pct"/>
            <w:tcBorders>
              <w:top w:val="nil"/>
              <w:left w:val="nil"/>
              <w:bottom w:val="nil"/>
              <w:right w:val="nil"/>
            </w:tcBorders>
          </w:tcPr>
          <w:p w:rsidR="000C50F4" w:rsidRPr="005E30E6" w:rsidRDefault="000C50F4" w:rsidP="000C50F4">
            <w:pPr>
              <w:rPr>
                <w:bCs/>
                <w:spacing w:val="10"/>
                <w:sz w:val="22"/>
                <w:szCs w:val="22"/>
              </w:rPr>
            </w:pPr>
            <w:r w:rsidRPr="005E30E6">
              <w:rPr>
                <w:color w:val="241E1C"/>
                <w:sz w:val="22"/>
                <w:szCs w:val="22"/>
              </w:rPr>
              <w:t xml:space="preserve">Payables </w:t>
            </w:r>
            <w:r>
              <w:rPr>
                <w:color w:val="241E1C"/>
                <w:sz w:val="22"/>
                <w:szCs w:val="22"/>
              </w:rPr>
              <w:t>for</w:t>
            </w:r>
            <w:r w:rsidRPr="005E30E6">
              <w:rPr>
                <w:color w:val="241E1C"/>
                <w:sz w:val="22"/>
                <w:szCs w:val="22"/>
              </w:rPr>
              <w:t xml:space="preserve"> social security</w:t>
            </w:r>
          </w:p>
        </w:tc>
        <w:tc>
          <w:tcPr>
            <w:tcW w:w="850" w:type="pct"/>
            <w:tcBorders>
              <w:left w:val="nil"/>
              <w:right w:val="nil"/>
            </w:tcBorders>
            <w:tcMar>
              <w:right w:w="284" w:type="dxa"/>
            </w:tcMar>
          </w:tcPr>
          <w:p w:rsidR="000C50F4" w:rsidRPr="00C66B91" w:rsidRDefault="000C50F4" w:rsidP="000C50F4">
            <w:pPr>
              <w:ind w:right="57"/>
              <w:jc w:val="right"/>
              <w:rPr>
                <w:bCs/>
                <w:spacing w:val="10"/>
                <w:sz w:val="22"/>
                <w:szCs w:val="22"/>
                <w:lang w:val="en-GB"/>
              </w:rPr>
            </w:pPr>
            <w:r w:rsidRPr="00C66B91">
              <w:rPr>
                <w:bCs/>
                <w:spacing w:val="10"/>
                <w:sz w:val="22"/>
                <w:szCs w:val="22"/>
                <w:lang w:val="en-GB"/>
              </w:rPr>
              <w:t>770</w:t>
            </w:r>
          </w:p>
        </w:tc>
        <w:tc>
          <w:tcPr>
            <w:tcW w:w="925" w:type="pct"/>
            <w:tcBorders>
              <w:left w:val="nil"/>
              <w:right w:val="nil"/>
            </w:tcBorders>
          </w:tcPr>
          <w:p w:rsidR="000C50F4" w:rsidRPr="00C66B91" w:rsidRDefault="000C50F4" w:rsidP="000C50F4">
            <w:pPr>
              <w:ind w:right="57"/>
              <w:jc w:val="right"/>
              <w:rPr>
                <w:bCs/>
                <w:spacing w:val="10"/>
                <w:sz w:val="22"/>
                <w:szCs w:val="22"/>
                <w:lang w:val="en-GB"/>
              </w:rPr>
            </w:pPr>
            <w:r w:rsidRPr="00C66B91">
              <w:rPr>
                <w:bCs/>
                <w:spacing w:val="10"/>
                <w:sz w:val="22"/>
                <w:szCs w:val="22"/>
                <w:lang w:val="en-GB"/>
              </w:rPr>
              <w:t>775</w:t>
            </w:r>
          </w:p>
        </w:tc>
      </w:tr>
      <w:tr w:rsidR="000C50F4" w:rsidRPr="00C66B91" w:rsidTr="00DB0455">
        <w:trPr>
          <w:trHeight w:val="274"/>
        </w:trPr>
        <w:tc>
          <w:tcPr>
            <w:tcW w:w="3225" w:type="pct"/>
            <w:tcBorders>
              <w:top w:val="nil"/>
              <w:left w:val="nil"/>
              <w:bottom w:val="nil"/>
              <w:right w:val="nil"/>
            </w:tcBorders>
          </w:tcPr>
          <w:p w:rsidR="000C50F4" w:rsidRPr="005E30E6" w:rsidRDefault="000C50F4" w:rsidP="000C50F4">
            <w:pPr>
              <w:rPr>
                <w:color w:val="241E1C"/>
                <w:sz w:val="22"/>
                <w:szCs w:val="22"/>
              </w:rPr>
            </w:pPr>
            <w:r w:rsidRPr="005E30E6">
              <w:rPr>
                <w:color w:val="241E1C"/>
                <w:sz w:val="22"/>
                <w:szCs w:val="22"/>
              </w:rPr>
              <w:t>Other payables</w:t>
            </w:r>
          </w:p>
        </w:tc>
        <w:tc>
          <w:tcPr>
            <w:tcW w:w="850" w:type="pct"/>
            <w:tcBorders>
              <w:left w:val="nil"/>
              <w:right w:val="nil"/>
            </w:tcBorders>
            <w:tcMar>
              <w:right w:w="284" w:type="dxa"/>
            </w:tcMar>
          </w:tcPr>
          <w:p w:rsidR="000C50F4" w:rsidRPr="00C66B91" w:rsidRDefault="000C50F4" w:rsidP="000C50F4">
            <w:pPr>
              <w:ind w:right="57"/>
              <w:jc w:val="right"/>
              <w:rPr>
                <w:bCs/>
                <w:spacing w:val="10"/>
                <w:sz w:val="22"/>
                <w:szCs w:val="22"/>
                <w:lang w:val="en-GB"/>
              </w:rPr>
            </w:pPr>
            <w:r w:rsidRPr="00C66B91">
              <w:rPr>
                <w:bCs/>
                <w:spacing w:val="10"/>
                <w:sz w:val="22"/>
                <w:szCs w:val="22"/>
                <w:lang w:val="en-GB"/>
              </w:rPr>
              <w:t>2,190</w:t>
            </w:r>
          </w:p>
        </w:tc>
        <w:tc>
          <w:tcPr>
            <w:tcW w:w="925" w:type="pct"/>
            <w:tcBorders>
              <w:left w:val="nil"/>
              <w:right w:val="nil"/>
            </w:tcBorders>
          </w:tcPr>
          <w:p w:rsidR="000C50F4" w:rsidRPr="00C66B91" w:rsidRDefault="000C50F4" w:rsidP="000C50F4">
            <w:pPr>
              <w:ind w:right="57"/>
              <w:jc w:val="right"/>
              <w:rPr>
                <w:bCs/>
                <w:spacing w:val="10"/>
                <w:sz w:val="22"/>
                <w:szCs w:val="22"/>
                <w:lang w:val="en-GB"/>
              </w:rPr>
            </w:pPr>
            <w:r w:rsidRPr="00C66B91">
              <w:rPr>
                <w:bCs/>
                <w:spacing w:val="10"/>
                <w:sz w:val="22"/>
                <w:szCs w:val="22"/>
                <w:lang w:val="en-GB"/>
              </w:rPr>
              <w:t>3,367</w:t>
            </w:r>
          </w:p>
        </w:tc>
      </w:tr>
      <w:tr w:rsidR="000C50F4" w:rsidRPr="00C66B91" w:rsidTr="00DB0455">
        <w:trPr>
          <w:trHeight w:val="274"/>
        </w:trPr>
        <w:tc>
          <w:tcPr>
            <w:tcW w:w="3225" w:type="pct"/>
            <w:tcBorders>
              <w:top w:val="nil"/>
              <w:left w:val="nil"/>
              <w:bottom w:val="nil"/>
              <w:right w:val="nil"/>
            </w:tcBorders>
            <w:vAlign w:val="center"/>
          </w:tcPr>
          <w:p w:rsidR="000C50F4" w:rsidRPr="005E30E6" w:rsidRDefault="000C50F4" w:rsidP="000C50F4">
            <w:pPr>
              <w:jc w:val="right"/>
              <w:rPr>
                <w:b/>
                <w:sz w:val="22"/>
                <w:szCs w:val="22"/>
              </w:rPr>
            </w:pPr>
            <w:r w:rsidRPr="005E30E6">
              <w:rPr>
                <w:b/>
                <w:sz w:val="22"/>
                <w:szCs w:val="22"/>
              </w:rPr>
              <w:t xml:space="preserve">Total </w:t>
            </w:r>
          </w:p>
        </w:tc>
        <w:tc>
          <w:tcPr>
            <w:tcW w:w="850" w:type="pct"/>
            <w:tcBorders>
              <w:top w:val="single" w:sz="4" w:space="0" w:color="auto"/>
              <w:left w:val="nil"/>
              <w:bottom w:val="double" w:sz="6" w:space="0" w:color="auto"/>
              <w:right w:val="nil"/>
            </w:tcBorders>
            <w:tcMar>
              <w:right w:w="284" w:type="dxa"/>
            </w:tcMar>
            <w:vAlign w:val="center"/>
          </w:tcPr>
          <w:p w:rsidR="000C50F4" w:rsidRPr="00C66B91" w:rsidRDefault="000C50F4" w:rsidP="000C50F4">
            <w:pPr>
              <w:ind w:right="57"/>
              <w:jc w:val="right"/>
              <w:rPr>
                <w:b/>
                <w:color w:val="241E1C"/>
                <w:sz w:val="22"/>
                <w:szCs w:val="22"/>
                <w:lang w:val="en-GB"/>
              </w:rPr>
            </w:pPr>
            <w:r w:rsidRPr="00C66B91">
              <w:rPr>
                <w:b/>
                <w:color w:val="241E1C"/>
                <w:sz w:val="22"/>
                <w:szCs w:val="22"/>
                <w:lang w:val="en-GB"/>
              </w:rPr>
              <w:t>17,716</w:t>
            </w:r>
          </w:p>
        </w:tc>
        <w:tc>
          <w:tcPr>
            <w:tcW w:w="925" w:type="pct"/>
            <w:tcBorders>
              <w:top w:val="single" w:sz="4" w:space="0" w:color="auto"/>
              <w:left w:val="nil"/>
              <w:bottom w:val="double" w:sz="6" w:space="0" w:color="auto"/>
              <w:right w:val="nil"/>
            </w:tcBorders>
            <w:vAlign w:val="center"/>
          </w:tcPr>
          <w:p w:rsidR="000C50F4" w:rsidRPr="00C66B91" w:rsidRDefault="000C50F4" w:rsidP="000C50F4">
            <w:pPr>
              <w:ind w:right="57"/>
              <w:jc w:val="right"/>
              <w:rPr>
                <w:b/>
                <w:color w:val="241E1C"/>
                <w:sz w:val="22"/>
                <w:szCs w:val="22"/>
                <w:lang w:val="en-GB"/>
              </w:rPr>
            </w:pPr>
            <w:r w:rsidRPr="00C66B91">
              <w:rPr>
                <w:b/>
                <w:color w:val="241E1C"/>
                <w:sz w:val="22"/>
                <w:szCs w:val="22"/>
                <w:lang w:val="en-GB"/>
              </w:rPr>
              <w:t>17,819</w:t>
            </w:r>
          </w:p>
        </w:tc>
      </w:tr>
    </w:tbl>
    <w:p w:rsidR="000C50F4" w:rsidRDefault="000C50F4" w:rsidP="00E922D1">
      <w:pPr>
        <w:pStyle w:val="BodyText"/>
        <w:rPr>
          <w:b/>
          <w:sz w:val="22"/>
          <w:szCs w:val="22"/>
          <w:lang w:val="en-GB"/>
        </w:rPr>
      </w:pPr>
    </w:p>
    <w:p w:rsidR="000C50F4" w:rsidRDefault="000C50F4" w:rsidP="00E922D1">
      <w:pPr>
        <w:pStyle w:val="BodyText"/>
        <w:rPr>
          <w:b/>
          <w:sz w:val="22"/>
          <w:szCs w:val="22"/>
          <w:lang w:val="en-GB"/>
        </w:rPr>
      </w:pPr>
    </w:p>
    <w:p w:rsidR="00E922D1" w:rsidRPr="00C66B91" w:rsidRDefault="00E922D1" w:rsidP="00E922D1">
      <w:pPr>
        <w:pStyle w:val="BodyText"/>
        <w:rPr>
          <w:sz w:val="22"/>
          <w:szCs w:val="22"/>
          <w:lang w:val="en-GB"/>
        </w:rPr>
      </w:pPr>
      <w:r w:rsidRPr="00C66B91">
        <w:rPr>
          <w:b/>
          <w:sz w:val="22"/>
          <w:szCs w:val="22"/>
          <w:lang w:val="en-GB"/>
        </w:rPr>
        <w:t xml:space="preserve">13.   </w:t>
      </w:r>
      <w:r w:rsidR="001430AC">
        <w:rPr>
          <w:b/>
          <w:sz w:val="22"/>
          <w:szCs w:val="22"/>
          <w:lang w:val="en-GB"/>
        </w:rPr>
        <w:t>REVENUES</w:t>
      </w:r>
      <w:r w:rsidRPr="00C66B91">
        <w:rPr>
          <w:b/>
          <w:sz w:val="22"/>
          <w:szCs w:val="22"/>
          <w:lang w:val="en-GB"/>
        </w:rPr>
        <w:t xml:space="preserve"> </w:t>
      </w:r>
    </w:p>
    <w:p w:rsidR="00E922D1" w:rsidRPr="00C66B91" w:rsidRDefault="00E922D1" w:rsidP="00E922D1">
      <w:pPr>
        <w:autoSpaceDE w:val="0"/>
        <w:autoSpaceDN w:val="0"/>
        <w:adjustRightInd w:val="0"/>
        <w:ind w:left="360"/>
        <w:rPr>
          <w:b/>
          <w:sz w:val="22"/>
          <w:szCs w:val="22"/>
          <w:lang w:val="en-GB"/>
        </w:rPr>
      </w:pPr>
    </w:p>
    <w:p w:rsidR="00E922D1" w:rsidRPr="00C66B91" w:rsidRDefault="001430AC" w:rsidP="00E922D1">
      <w:pPr>
        <w:ind w:right="57"/>
        <w:jc w:val="both"/>
        <w:rPr>
          <w:sz w:val="22"/>
          <w:szCs w:val="22"/>
          <w:lang w:val="en-GB"/>
        </w:rPr>
      </w:pPr>
      <w:r w:rsidRPr="001430AC">
        <w:rPr>
          <w:sz w:val="22"/>
          <w:szCs w:val="22"/>
          <w:lang w:val="en-GB"/>
        </w:rPr>
        <w:t>The Group revenues from sales include:</w:t>
      </w:r>
    </w:p>
    <w:tbl>
      <w:tblPr>
        <w:tblW w:w="4943" w:type="pct"/>
        <w:tblLook w:val="0000" w:firstRow="0" w:lastRow="0" w:firstColumn="0" w:lastColumn="0" w:noHBand="0" w:noVBand="0"/>
      </w:tblPr>
      <w:tblGrid>
        <w:gridCol w:w="6095"/>
        <w:gridCol w:w="1560"/>
        <w:gridCol w:w="1330"/>
      </w:tblGrid>
      <w:tr w:rsidR="004B7BBB" w:rsidRPr="00C66B91" w:rsidTr="00EE3CD4">
        <w:trPr>
          <w:trHeight w:val="397"/>
        </w:trPr>
        <w:tc>
          <w:tcPr>
            <w:tcW w:w="3392" w:type="pct"/>
          </w:tcPr>
          <w:p w:rsidR="004B7BBB" w:rsidRPr="00C66B91" w:rsidRDefault="004B7BBB" w:rsidP="004B7BBB">
            <w:pPr>
              <w:rPr>
                <w:b/>
                <w:sz w:val="22"/>
                <w:szCs w:val="22"/>
                <w:lang w:val="en-GB"/>
              </w:rPr>
            </w:pPr>
          </w:p>
        </w:tc>
        <w:tc>
          <w:tcPr>
            <w:tcW w:w="868" w:type="pct"/>
            <w:vAlign w:val="center"/>
          </w:tcPr>
          <w:p w:rsidR="004B7BBB" w:rsidRPr="00C66B91" w:rsidRDefault="008A588E" w:rsidP="004B7BBB">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4B7BBB" w:rsidRPr="00C66B91">
              <w:rPr>
                <w:b/>
                <w:sz w:val="22"/>
                <w:szCs w:val="22"/>
                <w:lang w:val="en-GB"/>
              </w:rPr>
              <w:t>.2015</w:t>
            </w:r>
          </w:p>
          <w:p w:rsidR="004B7BBB" w:rsidRPr="00C66B91" w:rsidRDefault="004B7BBB" w:rsidP="004B7BBB">
            <w:pPr>
              <w:autoSpaceDE w:val="0"/>
              <w:autoSpaceDN w:val="0"/>
              <w:adjustRightInd w:val="0"/>
              <w:jc w:val="center"/>
              <w:rPr>
                <w:b/>
                <w:sz w:val="22"/>
                <w:szCs w:val="22"/>
                <w:lang w:val="en-GB"/>
              </w:rPr>
            </w:pPr>
            <w:r w:rsidRPr="00C66B91">
              <w:rPr>
                <w:b/>
                <w:sz w:val="22"/>
                <w:szCs w:val="22"/>
                <w:lang w:val="en-GB"/>
              </w:rPr>
              <w:t>BGN’000</w:t>
            </w:r>
          </w:p>
        </w:tc>
        <w:tc>
          <w:tcPr>
            <w:tcW w:w="740" w:type="pct"/>
            <w:vAlign w:val="center"/>
          </w:tcPr>
          <w:p w:rsidR="004B7BBB" w:rsidRPr="00C66B91" w:rsidRDefault="008A588E" w:rsidP="004B7BBB">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4B7BBB" w:rsidRPr="00C66B91">
              <w:rPr>
                <w:b/>
                <w:sz w:val="22"/>
                <w:szCs w:val="22"/>
                <w:lang w:val="en-GB"/>
              </w:rPr>
              <w:t>.2014</w:t>
            </w:r>
          </w:p>
          <w:p w:rsidR="004B7BBB" w:rsidRPr="00C66B91" w:rsidRDefault="004B7BBB" w:rsidP="004B7BBB">
            <w:pPr>
              <w:autoSpaceDE w:val="0"/>
              <w:autoSpaceDN w:val="0"/>
              <w:adjustRightInd w:val="0"/>
              <w:jc w:val="center"/>
              <w:rPr>
                <w:b/>
                <w:sz w:val="22"/>
                <w:szCs w:val="22"/>
                <w:lang w:val="en-GB"/>
              </w:rPr>
            </w:pPr>
            <w:r w:rsidRPr="00C66B91">
              <w:rPr>
                <w:b/>
                <w:sz w:val="22"/>
                <w:szCs w:val="22"/>
                <w:lang w:val="en-GB"/>
              </w:rPr>
              <w:t>BGN’000</w:t>
            </w:r>
          </w:p>
        </w:tc>
      </w:tr>
      <w:tr w:rsidR="001430AC" w:rsidRPr="00C66B91" w:rsidTr="00EE3CD4">
        <w:tc>
          <w:tcPr>
            <w:tcW w:w="3392" w:type="pct"/>
            <w:vAlign w:val="center"/>
          </w:tcPr>
          <w:p w:rsidR="001430AC" w:rsidRPr="005E30E6" w:rsidRDefault="001430AC" w:rsidP="001430AC">
            <w:pPr>
              <w:rPr>
                <w:sz w:val="22"/>
                <w:szCs w:val="22"/>
              </w:rPr>
            </w:pPr>
            <w:r w:rsidRPr="005E30E6">
              <w:rPr>
                <w:sz w:val="22"/>
                <w:szCs w:val="22"/>
              </w:rPr>
              <w:t>Revenues from courier services</w:t>
            </w:r>
          </w:p>
        </w:tc>
        <w:tc>
          <w:tcPr>
            <w:tcW w:w="868" w:type="pct"/>
            <w:tcBorders>
              <w:top w:val="nil"/>
              <w:left w:val="nil"/>
              <w:right w:val="nil"/>
            </w:tcBorders>
            <w:tcMar>
              <w:right w:w="284" w:type="dxa"/>
            </w:tcMar>
            <w:vAlign w:val="bottom"/>
          </w:tcPr>
          <w:p w:rsidR="001430AC" w:rsidRPr="00C66B91" w:rsidRDefault="001430AC" w:rsidP="001430AC">
            <w:pPr>
              <w:jc w:val="right"/>
              <w:rPr>
                <w:color w:val="000000"/>
                <w:sz w:val="22"/>
                <w:szCs w:val="22"/>
                <w:lang w:val="en-GB"/>
              </w:rPr>
            </w:pPr>
            <w:r w:rsidRPr="00C66B91">
              <w:rPr>
                <w:color w:val="000000"/>
                <w:sz w:val="22"/>
                <w:szCs w:val="22"/>
                <w:lang w:val="en-GB"/>
              </w:rPr>
              <w:t>54,410</w:t>
            </w:r>
          </w:p>
        </w:tc>
        <w:tc>
          <w:tcPr>
            <w:tcW w:w="740" w:type="pct"/>
            <w:tcBorders>
              <w:top w:val="nil"/>
              <w:left w:val="nil"/>
              <w:right w:val="nil"/>
            </w:tcBorders>
            <w:vAlign w:val="bottom"/>
          </w:tcPr>
          <w:p w:rsidR="001430AC" w:rsidRPr="00C66B91" w:rsidRDefault="001430AC" w:rsidP="001430AC">
            <w:pPr>
              <w:jc w:val="right"/>
              <w:rPr>
                <w:color w:val="000000"/>
                <w:sz w:val="22"/>
                <w:szCs w:val="22"/>
                <w:lang w:val="en-GB"/>
              </w:rPr>
            </w:pPr>
            <w:r w:rsidRPr="00C66B91">
              <w:rPr>
                <w:color w:val="000000"/>
                <w:sz w:val="22"/>
                <w:szCs w:val="22"/>
                <w:lang w:val="en-GB"/>
              </w:rPr>
              <w:t>33,529</w:t>
            </w:r>
          </w:p>
        </w:tc>
      </w:tr>
      <w:tr w:rsidR="001430AC" w:rsidRPr="00C66B91" w:rsidTr="00EE3CD4">
        <w:tc>
          <w:tcPr>
            <w:tcW w:w="3392" w:type="pct"/>
            <w:vAlign w:val="center"/>
          </w:tcPr>
          <w:p w:rsidR="001430AC" w:rsidRPr="005E30E6" w:rsidRDefault="001430AC" w:rsidP="001430AC">
            <w:pPr>
              <w:jc w:val="right"/>
              <w:rPr>
                <w:b/>
                <w:sz w:val="22"/>
                <w:szCs w:val="22"/>
              </w:rPr>
            </w:pPr>
            <w:r w:rsidRPr="005E30E6">
              <w:rPr>
                <w:b/>
                <w:sz w:val="22"/>
                <w:szCs w:val="22"/>
              </w:rPr>
              <w:t>Total</w:t>
            </w:r>
          </w:p>
        </w:tc>
        <w:tc>
          <w:tcPr>
            <w:tcW w:w="868" w:type="pct"/>
            <w:tcBorders>
              <w:top w:val="single" w:sz="4" w:space="0" w:color="auto"/>
              <w:left w:val="nil"/>
              <w:bottom w:val="double" w:sz="4" w:space="0" w:color="auto"/>
              <w:right w:val="nil"/>
            </w:tcBorders>
            <w:tcMar>
              <w:right w:w="284" w:type="dxa"/>
            </w:tcMar>
            <w:vAlign w:val="bottom"/>
          </w:tcPr>
          <w:p w:rsidR="001430AC" w:rsidRPr="00C66B91" w:rsidRDefault="001430AC" w:rsidP="001430AC">
            <w:pPr>
              <w:jc w:val="right"/>
              <w:rPr>
                <w:b/>
                <w:color w:val="000000"/>
                <w:sz w:val="22"/>
                <w:szCs w:val="22"/>
                <w:lang w:val="en-GB"/>
              </w:rPr>
            </w:pPr>
            <w:r w:rsidRPr="00C66B91">
              <w:rPr>
                <w:b/>
                <w:color w:val="000000"/>
                <w:sz w:val="22"/>
                <w:szCs w:val="22"/>
                <w:lang w:val="en-GB"/>
              </w:rPr>
              <w:t>54,410</w:t>
            </w:r>
          </w:p>
        </w:tc>
        <w:tc>
          <w:tcPr>
            <w:tcW w:w="740" w:type="pct"/>
            <w:tcBorders>
              <w:top w:val="single" w:sz="4" w:space="0" w:color="auto"/>
              <w:left w:val="nil"/>
              <w:bottom w:val="double" w:sz="4" w:space="0" w:color="auto"/>
              <w:right w:val="nil"/>
            </w:tcBorders>
            <w:vAlign w:val="bottom"/>
          </w:tcPr>
          <w:p w:rsidR="001430AC" w:rsidRPr="00C66B91" w:rsidRDefault="001430AC" w:rsidP="001430AC">
            <w:pPr>
              <w:jc w:val="right"/>
              <w:rPr>
                <w:b/>
                <w:color w:val="000000"/>
                <w:sz w:val="22"/>
                <w:szCs w:val="22"/>
                <w:lang w:val="en-GB"/>
              </w:rPr>
            </w:pPr>
            <w:r w:rsidRPr="00C66B91">
              <w:rPr>
                <w:b/>
                <w:color w:val="000000"/>
                <w:sz w:val="22"/>
                <w:szCs w:val="22"/>
                <w:lang w:val="en-GB"/>
              </w:rPr>
              <w:t>33,529</w:t>
            </w:r>
          </w:p>
        </w:tc>
      </w:tr>
    </w:tbl>
    <w:p w:rsidR="00E922D1" w:rsidRPr="00C66B91" w:rsidRDefault="00E922D1" w:rsidP="00E922D1">
      <w:pPr>
        <w:autoSpaceDE w:val="0"/>
        <w:autoSpaceDN w:val="0"/>
        <w:adjustRightInd w:val="0"/>
        <w:rPr>
          <w:b/>
          <w:sz w:val="22"/>
          <w:szCs w:val="22"/>
          <w:lang w:val="en-GB"/>
        </w:rPr>
      </w:pPr>
    </w:p>
    <w:p w:rsidR="001430AC" w:rsidRPr="005E30E6" w:rsidRDefault="001430AC" w:rsidP="001430AC">
      <w:pPr>
        <w:pStyle w:val="ListParagraph"/>
        <w:autoSpaceDE w:val="0"/>
        <w:autoSpaceDN w:val="0"/>
        <w:adjustRightInd w:val="0"/>
        <w:ind w:left="360" w:hanging="360"/>
        <w:rPr>
          <w:b/>
          <w:sz w:val="22"/>
          <w:szCs w:val="22"/>
        </w:rPr>
      </w:pPr>
      <w:r w:rsidRPr="005E30E6">
        <w:rPr>
          <w:b/>
          <w:sz w:val="22"/>
          <w:szCs w:val="22"/>
        </w:rPr>
        <w:t xml:space="preserve">14.  OTHER REVENUES </w:t>
      </w:r>
    </w:p>
    <w:p w:rsidR="00E922D1" w:rsidRPr="00C66B91" w:rsidRDefault="001430AC" w:rsidP="001430AC">
      <w:pPr>
        <w:autoSpaceDE w:val="0"/>
        <w:autoSpaceDN w:val="0"/>
        <w:adjustRightInd w:val="0"/>
        <w:rPr>
          <w:b/>
          <w:sz w:val="22"/>
          <w:szCs w:val="22"/>
          <w:lang w:val="en-GB"/>
        </w:rPr>
      </w:pPr>
      <w:r w:rsidRPr="005E30E6">
        <w:rPr>
          <w:sz w:val="22"/>
          <w:szCs w:val="22"/>
        </w:rPr>
        <w:t>The Group other revenues include:</w:t>
      </w:r>
    </w:p>
    <w:tbl>
      <w:tblPr>
        <w:tblW w:w="4943" w:type="pct"/>
        <w:tblLook w:val="0000" w:firstRow="0" w:lastRow="0" w:firstColumn="0" w:lastColumn="0" w:noHBand="0" w:noVBand="0"/>
      </w:tblPr>
      <w:tblGrid>
        <w:gridCol w:w="6095"/>
        <w:gridCol w:w="1560"/>
        <w:gridCol w:w="1330"/>
      </w:tblGrid>
      <w:tr w:rsidR="004B7BBB" w:rsidRPr="00C66B91" w:rsidTr="00D14081">
        <w:trPr>
          <w:trHeight w:val="282"/>
        </w:trPr>
        <w:tc>
          <w:tcPr>
            <w:tcW w:w="3392" w:type="pct"/>
          </w:tcPr>
          <w:p w:rsidR="004B7BBB" w:rsidRPr="00C66B91" w:rsidRDefault="004B7BBB" w:rsidP="004B7BBB">
            <w:pPr>
              <w:rPr>
                <w:b/>
                <w:sz w:val="22"/>
                <w:szCs w:val="22"/>
                <w:lang w:val="en-GB"/>
              </w:rPr>
            </w:pPr>
          </w:p>
        </w:tc>
        <w:tc>
          <w:tcPr>
            <w:tcW w:w="868" w:type="pct"/>
            <w:vAlign w:val="center"/>
          </w:tcPr>
          <w:p w:rsidR="004B7BBB" w:rsidRPr="00C66B91" w:rsidRDefault="008A588E" w:rsidP="004B7BBB">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4B7BBB" w:rsidRPr="00C66B91">
              <w:rPr>
                <w:b/>
                <w:sz w:val="22"/>
                <w:szCs w:val="22"/>
                <w:lang w:val="en-GB"/>
              </w:rPr>
              <w:t>.2015</w:t>
            </w:r>
          </w:p>
          <w:p w:rsidR="004B7BBB" w:rsidRPr="00C66B91" w:rsidRDefault="004B7BBB" w:rsidP="004B7BBB">
            <w:pPr>
              <w:autoSpaceDE w:val="0"/>
              <w:autoSpaceDN w:val="0"/>
              <w:adjustRightInd w:val="0"/>
              <w:jc w:val="center"/>
              <w:rPr>
                <w:b/>
                <w:sz w:val="22"/>
                <w:szCs w:val="22"/>
                <w:lang w:val="en-GB"/>
              </w:rPr>
            </w:pPr>
            <w:r w:rsidRPr="00C66B91">
              <w:rPr>
                <w:b/>
                <w:sz w:val="22"/>
                <w:szCs w:val="22"/>
                <w:lang w:val="en-GB"/>
              </w:rPr>
              <w:t>BGN’000</w:t>
            </w:r>
          </w:p>
        </w:tc>
        <w:tc>
          <w:tcPr>
            <w:tcW w:w="740" w:type="pct"/>
            <w:vAlign w:val="center"/>
          </w:tcPr>
          <w:p w:rsidR="004B7BBB" w:rsidRPr="00C66B91" w:rsidRDefault="008A588E" w:rsidP="004B7BBB">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4B7BBB" w:rsidRPr="00C66B91">
              <w:rPr>
                <w:b/>
                <w:sz w:val="22"/>
                <w:szCs w:val="22"/>
                <w:lang w:val="en-GB"/>
              </w:rPr>
              <w:t>.2014</w:t>
            </w:r>
          </w:p>
          <w:p w:rsidR="004B7BBB" w:rsidRPr="00C66B91" w:rsidRDefault="004B7BBB" w:rsidP="004B7BBB">
            <w:pPr>
              <w:autoSpaceDE w:val="0"/>
              <w:autoSpaceDN w:val="0"/>
              <w:adjustRightInd w:val="0"/>
              <w:jc w:val="center"/>
              <w:rPr>
                <w:b/>
                <w:sz w:val="22"/>
                <w:szCs w:val="22"/>
                <w:lang w:val="en-GB"/>
              </w:rPr>
            </w:pPr>
            <w:r w:rsidRPr="00C66B91">
              <w:rPr>
                <w:b/>
                <w:sz w:val="22"/>
                <w:szCs w:val="22"/>
                <w:lang w:val="en-GB"/>
              </w:rPr>
              <w:t>BGN’000</w:t>
            </w:r>
          </w:p>
        </w:tc>
      </w:tr>
      <w:tr w:rsidR="00E922D1" w:rsidRPr="00C66B91" w:rsidTr="00D14081">
        <w:tc>
          <w:tcPr>
            <w:tcW w:w="3392" w:type="pct"/>
            <w:vAlign w:val="center"/>
          </w:tcPr>
          <w:p w:rsidR="00E922D1" w:rsidRPr="00C66B91" w:rsidRDefault="00E922D1" w:rsidP="00C46C22">
            <w:pPr>
              <w:rPr>
                <w:sz w:val="22"/>
                <w:szCs w:val="22"/>
                <w:lang w:val="en-GB"/>
              </w:rPr>
            </w:pPr>
          </w:p>
        </w:tc>
        <w:tc>
          <w:tcPr>
            <w:tcW w:w="868" w:type="pct"/>
            <w:tcMar>
              <w:right w:w="284" w:type="dxa"/>
            </w:tcMar>
            <w:vAlign w:val="center"/>
          </w:tcPr>
          <w:p w:rsidR="00E922D1" w:rsidRPr="00C66B91" w:rsidRDefault="00E922D1" w:rsidP="00C46C22">
            <w:pPr>
              <w:jc w:val="right"/>
              <w:rPr>
                <w:sz w:val="22"/>
                <w:szCs w:val="22"/>
                <w:lang w:val="en-GB"/>
              </w:rPr>
            </w:pPr>
          </w:p>
        </w:tc>
        <w:tc>
          <w:tcPr>
            <w:tcW w:w="740" w:type="pct"/>
            <w:tcMar>
              <w:right w:w="284" w:type="dxa"/>
            </w:tcMar>
            <w:vAlign w:val="center"/>
          </w:tcPr>
          <w:p w:rsidR="00E922D1" w:rsidRPr="00C66B91" w:rsidRDefault="00E922D1" w:rsidP="00C46C22">
            <w:pPr>
              <w:jc w:val="right"/>
              <w:rPr>
                <w:sz w:val="22"/>
                <w:szCs w:val="22"/>
                <w:lang w:val="en-GB"/>
              </w:rPr>
            </w:pPr>
          </w:p>
        </w:tc>
      </w:tr>
      <w:tr w:rsidR="001430AC" w:rsidRPr="00C66B91" w:rsidTr="00D14081">
        <w:tc>
          <w:tcPr>
            <w:tcW w:w="3392" w:type="pct"/>
            <w:vAlign w:val="center"/>
          </w:tcPr>
          <w:p w:rsidR="001430AC" w:rsidRPr="005E30E6" w:rsidRDefault="001430AC" w:rsidP="001430AC">
            <w:pPr>
              <w:rPr>
                <w:color w:val="000000"/>
                <w:sz w:val="22"/>
                <w:szCs w:val="22"/>
              </w:rPr>
            </w:pPr>
            <w:r w:rsidRPr="005E30E6">
              <w:rPr>
                <w:color w:val="000000"/>
                <w:sz w:val="22"/>
                <w:szCs w:val="22"/>
              </w:rPr>
              <w:t xml:space="preserve">Revenues from renting out of motor vehicles </w:t>
            </w:r>
          </w:p>
        </w:tc>
        <w:tc>
          <w:tcPr>
            <w:tcW w:w="868" w:type="pct"/>
            <w:tcMar>
              <w:right w:w="284" w:type="dxa"/>
            </w:tcMar>
            <w:vAlign w:val="bottom"/>
          </w:tcPr>
          <w:p w:rsidR="001430AC" w:rsidRPr="00C66B91" w:rsidRDefault="001430AC" w:rsidP="001430AC">
            <w:pPr>
              <w:jc w:val="right"/>
              <w:rPr>
                <w:sz w:val="22"/>
                <w:szCs w:val="22"/>
                <w:lang w:val="en-GB"/>
              </w:rPr>
            </w:pPr>
            <w:r w:rsidRPr="00C66B91">
              <w:rPr>
                <w:sz w:val="22"/>
                <w:szCs w:val="22"/>
                <w:lang w:val="en-GB"/>
              </w:rPr>
              <w:t>1,076</w:t>
            </w:r>
          </w:p>
        </w:tc>
        <w:tc>
          <w:tcPr>
            <w:tcW w:w="740" w:type="pct"/>
            <w:tcMar>
              <w:right w:w="284" w:type="dxa"/>
            </w:tcMar>
            <w:vAlign w:val="bottom"/>
          </w:tcPr>
          <w:p w:rsidR="001430AC" w:rsidRPr="00C66B91" w:rsidRDefault="001430AC" w:rsidP="001430AC">
            <w:pPr>
              <w:jc w:val="right"/>
              <w:rPr>
                <w:sz w:val="22"/>
                <w:szCs w:val="22"/>
                <w:lang w:val="en-GB"/>
              </w:rPr>
            </w:pPr>
            <w:r w:rsidRPr="00C66B91">
              <w:rPr>
                <w:sz w:val="22"/>
                <w:szCs w:val="22"/>
                <w:lang w:val="en-GB"/>
              </w:rPr>
              <w:t>920</w:t>
            </w:r>
          </w:p>
        </w:tc>
      </w:tr>
      <w:tr w:rsidR="001430AC" w:rsidRPr="00C66B91" w:rsidTr="00D14081">
        <w:tc>
          <w:tcPr>
            <w:tcW w:w="3392" w:type="pct"/>
            <w:vAlign w:val="center"/>
          </w:tcPr>
          <w:p w:rsidR="001430AC" w:rsidRPr="005E30E6" w:rsidRDefault="001430AC" w:rsidP="001430AC">
            <w:pPr>
              <w:rPr>
                <w:color w:val="000000"/>
                <w:sz w:val="22"/>
                <w:szCs w:val="22"/>
              </w:rPr>
            </w:pPr>
            <w:r w:rsidRPr="005E30E6">
              <w:rPr>
                <w:color w:val="000000"/>
                <w:sz w:val="22"/>
                <w:szCs w:val="22"/>
              </w:rPr>
              <w:t>Other revenues</w:t>
            </w:r>
          </w:p>
        </w:tc>
        <w:tc>
          <w:tcPr>
            <w:tcW w:w="868" w:type="pct"/>
            <w:tcBorders>
              <w:top w:val="nil"/>
              <w:left w:val="nil"/>
              <w:right w:val="nil"/>
            </w:tcBorders>
            <w:tcMar>
              <w:right w:w="284" w:type="dxa"/>
            </w:tcMar>
            <w:vAlign w:val="bottom"/>
          </w:tcPr>
          <w:p w:rsidR="001430AC" w:rsidRPr="00C66B91" w:rsidRDefault="001430AC" w:rsidP="001430AC">
            <w:pPr>
              <w:jc w:val="right"/>
              <w:rPr>
                <w:sz w:val="22"/>
                <w:szCs w:val="22"/>
                <w:lang w:val="en-GB"/>
              </w:rPr>
            </w:pPr>
            <w:r w:rsidRPr="00C66B91">
              <w:rPr>
                <w:sz w:val="22"/>
                <w:szCs w:val="22"/>
                <w:lang w:val="en-GB"/>
              </w:rPr>
              <w:t>1,231</w:t>
            </w:r>
          </w:p>
        </w:tc>
        <w:tc>
          <w:tcPr>
            <w:tcW w:w="740" w:type="pct"/>
            <w:tcBorders>
              <w:top w:val="nil"/>
              <w:left w:val="nil"/>
              <w:right w:val="nil"/>
            </w:tcBorders>
            <w:tcMar>
              <w:right w:w="284" w:type="dxa"/>
            </w:tcMar>
            <w:vAlign w:val="bottom"/>
          </w:tcPr>
          <w:p w:rsidR="001430AC" w:rsidRPr="00C66B91" w:rsidRDefault="001430AC" w:rsidP="001430AC">
            <w:pPr>
              <w:jc w:val="right"/>
              <w:rPr>
                <w:sz w:val="22"/>
                <w:szCs w:val="22"/>
                <w:lang w:val="en-GB"/>
              </w:rPr>
            </w:pPr>
            <w:r w:rsidRPr="00C66B91">
              <w:rPr>
                <w:sz w:val="22"/>
                <w:szCs w:val="22"/>
                <w:lang w:val="en-GB"/>
              </w:rPr>
              <w:t>294</w:t>
            </w:r>
          </w:p>
        </w:tc>
      </w:tr>
      <w:tr w:rsidR="001430AC" w:rsidRPr="00C66B91" w:rsidTr="00D14081">
        <w:tc>
          <w:tcPr>
            <w:tcW w:w="3392" w:type="pct"/>
            <w:vAlign w:val="center"/>
          </w:tcPr>
          <w:p w:rsidR="001430AC" w:rsidRPr="005E30E6" w:rsidRDefault="001430AC" w:rsidP="001430AC">
            <w:pPr>
              <w:jc w:val="right"/>
              <w:rPr>
                <w:b/>
                <w:sz w:val="22"/>
                <w:szCs w:val="22"/>
              </w:rPr>
            </w:pPr>
            <w:r w:rsidRPr="005E30E6">
              <w:rPr>
                <w:b/>
                <w:sz w:val="22"/>
                <w:szCs w:val="22"/>
              </w:rPr>
              <w:lastRenderedPageBreak/>
              <w:t>Total</w:t>
            </w:r>
          </w:p>
        </w:tc>
        <w:tc>
          <w:tcPr>
            <w:tcW w:w="868" w:type="pct"/>
            <w:tcBorders>
              <w:top w:val="single" w:sz="4" w:space="0" w:color="auto"/>
              <w:left w:val="nil"/>
              <w:bottom w:val="double" w:sz="4" w:space="0" w:color="auto"/>
              <w:right w:val="nil"/>
            </w:tcBorders>
            <w:tcMar>
              <w:right w:w="284" w:type="dxa"/>
            </w:tcMar>
            <w:vAlign w:val="bottom"/>
          </w:tcPr>
          <w:p w:rsidR="001430AC" w:rsidRPr="00C66B91" w:rsidRDefault="001430AC" w:rsidP="001430AC">
            <w:pPr>
              <w:jc w:val="right"/>
              <w:rPr>
                <w:b/>
                <w:color w:val="000000"/>
                <w:sz w:val="22"/>
                <w:szCs w:val="22"/>
                <w:lang w:val="en-GB"/>
              </w:rPr>
            </w:pPr>
            <w:r w:rsidRPr="00C66B91">
              <w:rPr>
                <w:b/>
                <w:color w:val="000000"/>
                <w:sz w:val="22"/>
                <w:szCs w:val="22"/>
                <w:lang w:val="en-GB"/>
              </w:rPr>
              <w:t>2,307</w:t>
            </w:r>
          </w:p>
        </w:tc>
        <w:tc>
          <w:tcPr>
            <w:tcW w:w="740" w:type="pct"/>
            <w:tcBorders>
              <w:top w:val="single" w:sz="4" w:space="0" w:color="auto"/>
              <w:left w:val="nil"/>
              <w:bottom w:val="double" w:sz="4" w:space="0" w:color="auto"/>
              <w:right w:val="nil"/>
            </w:tcBorders>
            <w:tcMar>
              <w:right w:w="284" w:type="dxa"/>
            </w:tcMar>
            <w:vAlign w:val="bottom"/>
          </w:tcPr>
          <w:p w:rsidR="001430AC" w:rsidRPr="00C66B91" w:rsidRDefault="001430AC" w:rsidP="001430AC">
            <w:pPr>
              <w:jc w:val="right"/>
              <w:rPr>
                <w:b/>
                <w:color w:val="000000"/>
                <w:sz w:val="22"/>
                <w:szCs w:val="22"/>
                <w:lang w:val="en-GB"/>
              </w:rPr>
            </w:pPr>
            <w:r w:rsidRPr="00C66B91">
              <w:rPr>
                <w:b/>
                <w:color w:val="000000"/>
                <w:sz w:val="22"/>
                <w:szCs w:val="22"/>
                <w:lang w:val="en-GB"/>
              </w:rPr>
              <w:t>1,214</w:t>
            </w:r>
          </w:p>
        </w:tc>
      </w:tr>
    </w:tbl>
    <w:p w:rsidR="004B7BBB" w:rsidRPr="00C66B91" w:rsidRDefault="004B7BBB" w:rsidP="00E922D1">
      <w:pPr>
        <w:autoSpaceDE w:val="0"/>
        <w:autoSpaceDN w:val="0"/>
        <w:adjustRightInd w:val="0"/>
        <w:rPr>
          <w:b/>
          <w:sz w:val="22"/>
          <w:szCs w:val="22"/>
          <w:lang w:val="en-GB"/>
        </w:rPr>
      </w:pPr>
    </w:p>
    <w:p w:rsidR="001430AC" w:rsidRPr="005E30E6" w:rsidRDefault="001430AC" w:rsidP="001430AC">
      <w:pPr>
        <w:pStyle w:val="ListParagraph"/>
        <w:numPr>
          <w:ilvl w:val="0"/>
          <w:numId w:val="34"/>
        </w:numPr>
        <w:autoSpaceDE w:val="0"/>
        <w:autoSpaceDN w:val="0"/>
        <w:adjustRightInd w:val="0"/>
        <w:ind w:left="426" w:hanging="426"/>
        <w:rPr>
          <w:b/>
          <w:sz w:val="22"/>
          <w:szCs w:val="22"/>
        </w:rPr>
      </w:pPr>
      <w:r w:rsidRPr="005E30E6">
        <w:rPr>
          <w:b/>
          <w:sz w:val="22"/>
          <w:szCs w:val="22"/>
        </w:rPr>
        <w:t xml:space="preserve">COSTS </w:t>
      </w:r>
      <w:r>
        <w:rPr>
          <w:b/>
          <w:sz w:val="22"/>
          <w:szCs w:val="22"/>
        </w:rPr>
        <w:t>OF MATERIALS</w:t>
      </w:r>
    </w:p>
    <w:p w:rsidR="001430AC" w:rsidRPr="005E30E6" w:rsidRDefault="001430AC" w:rsidP="001430AC">
      <w:pPr>
        <w:autoSpaceDE w:val="0"/>
        <w:autoSpaceDN w:val="0"/>
        <w:adjustRightInd w:val="0"/>
        <w:rPr>
          <w:sz w:val="22"/>
          <w:szCs w:val="22"/>
        </w:rPr>
      </w:pPr>
      <w:r w:rsidRPr="005E30E6">
        <w:rPr>
          <w:sz w:val="22"/>
          <w:szCs w:val="22"/>
        </w:rPr>
        <w:t xml:space="preserve">The costs </w:t>
      </w:r>
      <w:r>
        <w:rPr>
          <w:sz w:val="22"/>
          <w:szCs w:val="22"/>
        </w:rPr>
        <w:t>of</w:t>
      </w:r>
      <w:r w:rsidRPr="005E30E6">
        <w:rPr>
          <w:sz w:val="22"/>
          <w:szCs w:val="22"/>
        </w:rPr>
        <w:t xml:space="preserve"> materials and consumables include:</w:t>
      </w:r>
    </w:p>
    <w:p w:rsidR="004B7BBB" w:rsidRPr="00C66B91" w:rsidRDefault="004B7BBB" w:rsidP="00E922D1">
      <w:pPr>
        <w:autoSpaceDE w:val="0"/>
        <w:autoSpaceDN w:val="0"/>
        <w:adjustRightInd w:val="0"/>
        <w:rPr>
          <w:sz w:val="22"/>
          <w:szCs w:val="22"/>
          <w:lang w:val="en-GB"/>
        </w:rPr>
      </w:pPr>
    </w:p>
    <w:tbl>
      <w:tblPr>
        <w:tblW w:w="9072" w:type="dxa"/>
        <w:tblLook w:val="04A0" w:firstRow="1" w:lastRow="0" w:firstColumn="1" w:lastColumn="0" w:noHBand="0" w:noVBand="1"/>
      </w:tblPr>
      <w:tblGrid>
        <w:gridCol w:w="6096"/>
        <w:gridCol w:w="1559"/>
        <w:gridCol w:w="1417"/>
      </w:tblGrid>
      <w:tr w:rsidR="00D14081" w:rsidRPr="00C66B91" w:rsidTr="00D14081">
        <w:trPr>
          <w:trHeight w:val="315"/>
        </w:trPr>
        <w:tc>
          <w:tcPr>
            <w:tcW w:w="6096" w:type="dxa"/>
            <w:vMerge w:val="restart"/>
            <w:tcBorders>
              <w:top w:val="nil"/>
              <w:left w:val="nil"/>
              <w:bottom w:val="nil"/>
              <w:right w:val="nil"/>
            </w:tcBorders>
            <w:shd w:val="clear" w:color="auto" w:fill="auto"/>
            <w:vAlign w:val="center"/>
            <w:hideMark/>
          </w:tcPr>
          <w:p w:rsidR="00D14081" w:rsidRPr="00C66B91" w:rsidRDefault="00D14081">
            <w:pPr>
              <w:rPr>
                <w:sz w:val="20"/>
                <w:szCs w:val="20"/>
                <w:lang w:val="en-GB"/>
              </w:rPr>
            </w:pPr>
          </w:p>
        </w:tc>
        <w:tc>
          <w:tcPr>
            <w:tcW w:w="1559" w:type="dxa"/>
            <w:tcBorders>
              <w:top w:val="nil"/>
              <w:left w:val="nil"/>
              <w:bottom w:val="nil"/>
              <w:right w:val="nil"/>
            </w:tcBorders>
            <w:shd w:val="clear" w:color="auto" w:fill="auto"/>
            <w:vAlign w:val="center"/>
            <w:hideMark/>
          </w:tcPr>
          <w:p w:rsidR="00D14081" w:rsidRPr="00C66B91" w:rsidRDefault="008A588E">
            <w:pPr>
              <w:jc w:val="center"/>
              <w:rPr>
                <w:b/>
                <w:bCs/>
                <w:color w:val="000000"/>
                <w:sz w:val="22"/>
                <w:szCs w:val="22"/>
                <w:lang w:val="en-GB"/>
              </w:rPr>
            </w:pPr>
            <w:r w:rsidRPr="00C66B91">
              <w:rPr>
                <w:b/>
                <w:bCs/>
                <w:color w:val="000000"/>
                <w:sz w:val="22"/>
                <w:szCs w:val="22"/>
                <w:lang w:val="en-GB"/>
              </w:rPr>
              <w:t>30.06</w:t>
            </w:r>
            <w:r w:rsidR="00D14081" w:rsidRPr="00C66B91">
              <w:rPr>
                <w:b/>
                <w:bCs/>
                <w:color w:val="000000"/>
                <w:sz w:val="22"/>
                <w:szCs w:val="22"/>
                <w:lang w:val="en-GB"/>
              </w:rPr>
              <w:t>.2015</w:t>
            </w:r>
          </w:p>
        </w:tc>
        <w:tc>
          <w:tcPr>
            <w:tcW w:w="1417" w:type="dxa"/>
            <w:tcBorders>
              <w:top w:val="nil"/>
              <w:left w:val="nil"/>
              <w:bottom w:val="nil"/>
              <w:right w:val="nil"/>
            </w:tcBorders>
            <w:shd w:val="clear" w:color="auto" w:fill="auto"/>
            <w:vAlign w:val="center"/>
            <w:hideMark/>
          </w:tcPr>
          <w:p w:rsidR="00D14081" w:rsidRPr="00C66B91" w:rsidRDefault="008A588E">
            <w:pPr>
              <w:jc w:val="center"/>
              <w:rPr>
                <w:b/>
                <w:bCs/>
                <w:color w:val="000000"/>
                <w:sz w:val="22"/>
                <w:szCs w:val="22"/>
                <w:lang w:val="en-GB"/>
              </w:rPr>
            </w:pPr>
            <w:r w:rsidRPr="00C66B91">
              <w:rPr>
                <w:b/>
                <w:bCs/>
                <w:color w:val="000000"/>
                <w:sz w:val="22"/>
                <w:szCs w:val="22"/>
                <w:lang w:val="en-GB"/>
              </w:rPr>
              <w:t>30.06</w:t>
            </w:r>
            <w:r w:rsidR="00D14081" w:rsidRPr="00C66B91">
              <w:rPr>
                <w:b/>
                <w:bCs/>
                <w:color w:val="000000"/>
                <w:sz w:val="22"/>
                <w:szCs w:val="22"/>
                <w:lang w:val="en-GB"/>
              </w:rPr>
              <w:t>.2014</w:t>
            </w:r>
          </w:p>
        </w:tc>
      </w:tr>
      <w:tr w:rsidR="00D14081" w:rsidRPr="00C66B91" w:rsidTr="00D14081">
        <w:trPr>
          <w:trHeight w:val="315"/>
        </w:trPr>
        <w:tc>
          <w:tcPr>
            <w:tcW w:w="6096" w:type="dxa"/>
            <w:vMerge/>
            <w:tcBorders>
              <w:top w:val="nil"/>
              <w:left w:val="nil"/>
              <w:bottom w:val="nil"/>
              <w:right w:val="nil"/>
            </w:tcBorders>
            <w:vAlign w:val="center"/>
            <w:hideMark/>
          </w:tcPr>
          <w:p w:rsidR="00D14081" w:rsidRPr="00C66B91" w:rsidRDefault="00D14081">
            <w:pPr>
              <w:rPr>
                <w:sz w:val="20"/>
                <w:szCs w:val="20"/>
                <w:lang w:val="en-GB"/>
              </w:rPr>
            </w:pPr>
          </w:p>
        </w:tc>
        <w:tc>
          <w:tcPr>
            <w:tcW w:w="1559" w:type="dxa"/>
            <w:tcBorders>
              <w:top w:val="nil"/>
              <w:left w:val="nil"/>
              <w:bottom w:val="nil"/>
              <w:right w:val="nil"/>
            </w:tcBorders>
            <w:shd w:val="clear" w:color="auto" w:fill="auto"/>
            <w:vAlign w:val="center"/>
            <w:hideMark/>
          </w:tcPr>
          <w:p w:rsidR="00D14081" w:rsidRPr="00C66B91" w:rsidRDefault="00D14081">
            <w:pPr>
              <w:jc w:val="center"/>
              <w:rPr>
                <w:b/>
                <w:bCs/>
                <w:color w:val="000000"/>
                <w:sz w:val="22"/>
                <w:szCs w:val="22"/>
                <w:lang w:val="en-GB"/>
              </w:rPr>
            </w:pPr>
            <w:r w:rsidRPr="00C66B91">
              <w:rPr>
                <w:b/>
                <w:bCs/>
                <w:color w:val="000000"/>
                <w:sz w:val="22"/>
                <w:szCs w:val="22"/>
                <w:lang w:val="en-GB"/>
              </w:rPr>
              <w:t>BGN’000</w:t>
            </w:r>
          </w:p>
        </w:tc>
        <w:tc>
          <w:tcPr>
            <w:tcW w:w="1417" w:type="dxa"/>
            <w:tcBorders>
              <w:top w:val="nil"/>
              <w:left w:val="nil"/>
              <w:bottom w:val="nil"/>
              <w:right w:val="nil"/>
            </w:tcBorders>
            <w:shd w:val="clear" w:color="auto" w:fill="auto"/>
            <w:vAlign w:val="center"/>
            <w:hideMark/>
          </w:tcPr>
          <w:p w:rsidR="00D14081" w:rsidRPr="00C66B91" w:rsidRDefault="00D14081">
            <w:pPr>
              <w:jc w:val="center"/>
              <w:rPr>
                <w:b/>
                <w:bCs/>
                <w:color w:val="000000"/>
                <w:sz w:val="22"/>
                <w:szCs w:val="22"/>
                <w:lang w:val="en-GB"/>
              </w:rPr>
            </w:pPr>
            <w:r w:rsidRPr="00C66B91">
              <w:rPr>
                <w:b/>
                <w:bCs/>
                <w:color w:val="000000"/>
                <w:sz w:val="22"/>
                <w:szCs w:val="22"/>
                <w:lang w:val="en-GB"/>
              </w:rPr>
              <w:t>BGN’000</w:t>
            </w:r>
          </w:p>
        </w:tc>
      </w:tr>
      <w:tr w:rsidR="00D14081" w:rsidRPr="00C66B91" w:rsidTr="00D14081">
        <w:trPr>
          <w:trHeight w:val="315"/>
        </w:trPr>
        <w:tc>
          <w:tcPr>
            <w:tcW w:w="6096" w:type="dxa"/>
            <w:tcBorders>
              <w:top w:val="nil"/>
              <w:left w:val="nil"/>
              <w:bottom w:val="nil"/>
              <w:right w:val="nil"/>
            </w:tcBorders>
            <w:shd w:val="clear" w:color="auto" w:fill="auto"/>
            <w:vAlign w:val="center"/>
            <w:hideMark/>
          </w:tcPr>
          <w:p w:rsidR="00D14081" w:rsidRPr="00C66B91" w:rsidRDefault="00D14081">
            <w:pPr>
              <w:jc w:val="center"/>
              <w:rPr>
                <w:b/>
                <w:bCs/>
                <w:color w:val="000000"/>
                <w:sz w:val="22"/>
                <w:szCs w:val="22"/>
                <w:lang w:val="en-GB"/>
              </w:rPr>
            </w:pPr>
          </w:p>
        </w:tc>
        <w:tc>
          <w:tcPr>
            <w:tcW w:w="1559" w:type="dxa"/>
            <w:tcBorders>
              <w:top w:val="nil"/>
              <w:left w:val="nil"/>
              <w:bottom w:val="nil"/>
              <w:right w:val="nil"/>
            </w:tcBorders>
            <w:shd w:val="clear" w:color="auto" w:fill="auto"/>
            <w:vAlign w:val="center"/>
            <w:hideMark/>
          </w:tcPr>
          <w:p w:rsidR="00D14081" w:rsidRPr="00C66B91" w:rsidRDefault="00D14081">
            <w:pPr>
              <w:rPr>
                <w:sz w:val="20"/>
                <w:szCs w:val="20"/>
                <w:lang w:val="en-GB"/>
              </w:rPr>
            </w:pPr>
          </w:p>
        </w:tc>
        <w:tc>
          <w:tcPr>
            <w:tcW w:w="1417" w:type="dxa"/>
            <w:tcBorders>
              <w:top w:val="nil"/>
              <w:left w:val="nil"/>
              <w:bottom w:val="nil"/>
              <w:right w:val="nil"/>
            </w:tcBorders>
            <w:shd w:val="clear" w:color="auto" w:fill="auto"/>
            <w:vAlign w:val="center"/>
            <w:hideMark/>
          </w:tcPr>
          <w:p w:rsidR="00D14081" w:rsidRPr="00C66B91" w:rsidRDefault="00D14081">
            <w:pPr>
              <w:jc w:val="right"/>
              <w:rPr>
                <w:sz w:val="20"/>
                <w:szCs w:val="20"/>
                <w:lang w:val="en-GB"/>
              </w:rPr>
            </w:pPr>
          </w:p>
        </w:tc>
      </w:tr>
      <w:tr w:rsidR="001430AC" w:rsidRPr="00C66B91" w:rsidTr="00D92459">
        <w:trPr>
          <w:trHeight w:val="315"/>
        </w:trPr>
        <w:tc>
          <w:tcPr>
            <w:tcW w:w="6096" w:type="dxa"/>
            <w:tcBorders>
              <w:top w:val="nil"/>
              <w:left w:val="nil"/>
              <w:bottom w:val="nil"/>
              <w:right w:val="nil"/>
            </w:tcBorders>
            <w:shd w:val="clear" w:color="auto" w:fill="auto"/>
            <w:vAlign w:val="center"/>
            <w:hideMark/>
          </w:tcPr>
          <w:p w:rsidR="001430AC" w:rsidRPr="005E30E6" w:rsidRDefault="001430AC" w:rsidP="001430AC">
            <w:pPr>
              <w:rPr>
                <w:color w:val="000000"/>
                <w:sz w:val="22"/>
                <w:szCs w:val="22"/>
              </w:rPr>
            </w:pPr>
            <w:r w:rsidRPr="005E30E6">
              <w:rPr>
                <w:color w:val="000000"/>
                <w:sz w:val="22"/>
                <w:szCs w:val="22"/>
              </w:rPr>
              <w:t>Fuels</w:t>
            </w:r>
          </w:p>
        </w:tc>
        <w:tc>
          <w:tcPr>
            <w:tcW w:w="1559" w:type="dxa"/>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1,718</w:t>
            </w:r>
          </w:p>
        </w:tc>
        <w:tc>
          <w:tcPr>
            <w:tcW w:w="1417" w:type="dxa"/>
            <w:tcBorders>
              <w:top w:val="nil"/>
              <w:left w:val="nil"/>
              <w:bottom w:val="nil"/>
              <w:right w:val="nil"/>
            </w:tcBorders>
            <w:shd w:val="clear" w:color="auto" w:fill="auto"/>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1,804</w:t>
            </w:r>
          </w:p>
        </w:tc>
      </w:tr>
      <w:tr w:rsidR="001430AC" w:rsidRPr="00C66B91" w:rsidTr="00D92459">
        <w:trPr>
          <w:trHeight w:val="315"/>
        </w:trPr>
        <w:tc>
          <w:tcPr>
            <w:tcW w:w="6096" w:type="dxa"/>
            <w:tcBorders>
              <w:top w:val="nil"/>
              <w:left w:val="nil"/>
              <w:bottom w:val="nil"/>
              <w:right w:val="nil"/>
            </w:tcBorders>
            <w:shd w:val="clear" w:color="auto" w:fill="auto"/>
            <w:vAlign w:val="center"/>
            <w:hideMark/>
          </w:tcPr>
          <w:p w:rsidR="001430AC" w:rsidRPr="005E30E6" w:rsidRDefault="001430AC" w:rsidP="001430AC">
            <w:pPr>
              <w:rPr>
                <w:color w:val="000000"/>
                <w:sz w:val="22"/>
                <w:szCs w:val="22"/>
              </w:rPr>
            </w:pPr>
            <w:r w:rsidRPr="005E30E6">
              <w:rPr>
                <w:color w:val="000000"/>
                <w:sz w:val="22"/>
                <w:szCs w:val="22"/>
              </w:rPr>
              <w:t>Delivery-related materials</w:t>
            </w:r>
          </w:p>
        </w:tc>
        <w:tc>
          <w:tcPr>
            <w:tcW w:w="1559" w:type="dxa"/>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792</w:t>
            </w:r>
          </w:p>
        </w:tc>
        <w:tc>
          <w:tcPr>
            <w:tcW w:w="1417" w:type="dxa"/>
            <w:tcBorders>
              <w:top w:val="nil"/>
              <w:left w:val="nil"/>
              <w:bottom w:val="nil"/>
              <w:right w:val="nil"/>
            </w:tcBorders>
            <w:shd w:val="clear" w:color="auto" w:fill="auto"/>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619</w:t>
            </w:r>
          </w:p>
        </w:tc>
      </w:tr>
      <w:tr w:rsidR="001430AC" w:rsidRPr="00C66B91" w:rsidTr="00D92459">
        <w:trPr>
          <w:trHeight w:val="315"/>
        </w:trPr>
        <w:tc>
          <w:tcPr>
            <w:tcW w:w="6096" w:type="dxa"/>
            <w:tcBorders>
              <w:top w:val="nil"/>
              <w:left w:val="nil"/>
              <w:bottom w:val="nil"/>
              <w:right w:val="nil"/>
            </w:tcBorders>
            <w:shd w:val="clear" w:color="auto" w:fill="auto"/>
            <w:vAlign w:val="center"/>
            <w:hideMark/>
          </w:tcPr>
          <w:p w:rsidR="001430AC" w:rsidRPr="005E30E6" w:rsidRDefault="001430AC" w:rsidP="001430AC">
            <w:pPr>
              <w:rPr>
                <w:color w:val="000000"/>
                <w:sz w:val="22"/>
                <w:szCs w:val="22"/>
              </w:rPr>
            </w:pPr>
            <w:r w:rsidRPr="005E30E6">
              <w:rPr>
                <w:color w:val="000000"/>
                <w:sz w:val="22"/>
                <w:szCs w:val="22"/>
              </w:rPr>
              <w:t>Spare parts</w:t>
            </w:r>
          </w:p>
        </w:tc>
        <w:tc>
          <w:tcPr>
            <w:tcW w:w="1559" w:type="dxa"/>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386</w:t>
            </w:r>
          </w:p>
        </w:tc>
        <w:tc>
          <w:tcPr>
            <w:tcW w:w="1417" w:type="dxa"/>
            <w:tcBorders>
              <w:top w:val="nil"/>
              <w:left w:val="nil"/>
              <w:bottom w:val="nil"/>
              <w:right w:val="nil"/>
            </w:tcBorders>
            <w:shd w:val="clear" w:color="auto" w:fill="auto"/>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513</w:t>
            </w:r>
          </w:p>
        </w:tc>
      </w:tr>
      <w:tr w:rsidR="001430AC" w:rsidRPr="00C66B91" w:rsidTr="00D92459">
        <w:trPr>
          <w:trHeight w:val="315"/>
        </w:trPr>
        <w:tc>
          <w:tcPr>
            <w:tcW w:w="6096" w:type="dxa"/>
            <w:tcBorders>
              <w:top w:val="nil"/>
              <w:left w:val="nil"/>
              <w:bottom w:val="nil"/>
              <w:right w:val="nil"/>
            </w:tcBorders>
            <w:shd w:val="clear" w:color="auto" w:fill="auto"/>
            <w:vAlign w:val="center"/>
            <w:hideMark/>
          </w:tcPr>
          <w:p w:rsidR="001430AC" w:rsidRPr="005E30E6" w:rsidRDefault="001430AC" w:rsidP="001430AC">
            <w:pPr>
              <w:rPr>
                <w:color w:val="000000"/>
                <w:sz w:val="22"/>
                <w:szCs w:val="22"/>
              </w:rPr>
            </w:pPr>
            <w:r w:rsidRPr="005E30E6">
              <w:rPr>
                <w:color w:val="000000"/>
                <w:sz w:val="22"/>
                <w:szCs w:val="22"/>
              </w:rPr>
              <w:t>Office materials and consumables</w:t>
            </w:r>
          </w:p>
        </w:tc>
        <w:tc>
          <w:tcPr>
            <w:tcW w:w="1559" w:type="dxa"/>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358</w:t>
            </w:r>
          </w:p>
        </w:tc>
        <w:tc>
          <w:tcPr>
            <w:tcW w:w="1417" w:type="dxa"/>
            <w:tcBorders>
              <w:top w:val="nil"/>
              <w:left w:val="nil"/>
              <w:bottom w:val="nil"/>
              <w:right w:val="nil"/>
            </w:tcBorders>
            <w:shd w:val="clear" w:color="auto" w:fill="auto"/>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79</w:t>
            </w:r>
          </w:p>
        </w:tc>
      </w:tr>
      <w:tr w:rsidR="001430AC" w:rsidRPr="00C66B91" w:rsidTr="00D92459">
        <w:trPr>
          <w:trHeight w:val="315"/>
        </w:trPr>
        <w:tc>
          <w:tcPr>
            <w:tcW w:w="6096" w:type="dxa"/>
            <w:tcBorders>
              <w:top w:val="nil"/>
              <w:left w:val="nil"/>
              <w:bottom w:val="nil"/>
              <w:right w:val="nil"/>
            </w:tcBorders>
            <w:shd w:val="clear" w:color="auto" w:fill="auto"/>
            <w:vAlign w:val="center"/>
            <w:hideMark/>
          </w:tcPr>
          <w:p w:rsidR="001430AC" w:rsidRPr="005E30E6" w:rsidRDefault="001430AC" w:rsidP="001430AC">
            <w:pPr>
              <w:rPr>
                <w:color w:val="000000"/>
                <w:sz w:val="22"/>
                <w:szCs w:val="22"/>
              </w:rPr>
            </w:pPr>
            <w:r w:rsidRPr="005E30E6">
              <w:rPr>
                <w:color w:val="000000"/>
                <w:sz w:val="22"/>
                <w:szCs w:val="22"/>
              </w:rPr>
              <w:t>Uniforms</w:t>
            </w:r>
          </w:p>
        </w:tc>
        <w:tc>
          <w:tcPr>
            <w:tcW w:w="1559" w:type="dxa"/>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73</w:t>
            </w:r>
          </w:p>
        </w:tc>
        <w:tc>
          <w:tcPr>
            <w:tcW w:w="1417" w:type="dxa"/>
            <w:tcBorders>
              <w:top w:val="nil"/>
              <w:left w:val="nil"/>
              <w:bottom w:val="nil"/>
              <w:right w:val="nil"/>
            </w:tcBorders>
            <w:shd w:val="clear" w:color="auto" w:fill="auto"/>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89</w:t>
            </w:r>
          </w:p>
        </w:tc>
      </w:tr>
      <w:tr w:rsidR="001430AC" w:rsidRPr="00C66B91" w:rsidTr="00D92459">
        <w:trPr>
          <w:trHeight w:val="315"/>
        </w:trPr>
        <w:tc>
          <w:tcPr>
            <w:tcW w:w="6096" w:type="dxa"/>
            <w:tcBorders>
              <w:top w:val="nil"/>
              <w:left w:val="nil"/>
              <w:bottom w:val="nil"/>
              <w:right w:val="nil"/>
            </w:tcBorders>
            <w:shd w:val="clear" w:color="auto" w:fill="auto"/>
            <w:vAlign w:val="center"/>
            <w:hideMark/>
          </w:tcPr>
          <w:p w:rsidR="001430AC" w:rsidRPr="005E30E6" w:rsidRDefault="001430AC" w:rsidP="001430AC">
            <w:pPr>
              <w:rPr>
                <w:color w:val="000000"/>
                <w:sz w:val="22"/>
                <w:szCs w:val="22"/>
              </w:rPr>
            </w:pPr>
            <w:r w:rsidRPr="005E30E6">
              <w:rPr>
                <w:color w:val="000000"/>
                <w:sz w:val="22"/>
                <w:szCs w:val="22"/>
              </w:rPr>
              <w:t>IT consumables</w:t>
            </w:r>
          </w:p>
        </w:tc>
        <w:tc>
          <w:tcPr>
            <w:tcW w:w="1559" w:type="dxa"/>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29</w:t>
            </w:r>
          </w:p>
        </w:tc>
        <w:tc>
          <w:tcPr>
            <w:tcW w:w="1417" w:type="dxa"/>
            <w:tcBorders>
              <w:top w:val="nil"/>
              <w:left w:val="nil"/>
              <w:bottom w:val="nil"/>
              <w:right w:val="nil"/>
            </w:tcBorders>
            <w:shd w:val="clear" w:color="auto" w:fill="auto"/>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84</w:t>
            </w:r>
          </w:p>
        </w:tc>
      </w:tr>
      <w:tr w:rsidR="001430AC" w:rsidRPr="00C66B91" w:rsidTr="00D92459">
        <w:trPr>
          <w:trHeight w:val="315"/>
        </w:trPr>
        <w:tc>
          <w:tcPr>
            <w:tcW w:w="6096" w:type="dxa"/>
            <w:tcBorders>
              <w:top w:val="nil"/>
              <w:left w:val="nil"/>
              <w:bottom w:val="nil"/>
              <w:right w:val="nil"/>
            </w:tcBorders>
            <w:shd w:val="clear" w:color="auto" w:fill="auto"/>
            <w:vAlign w:val="center"/>
            <w:hideMark/>
          </w:tcPr>
          <w:p w:rsidR="001430AC" w:rsidRPr="005E30E6" w:rsidRDefault="001430AC" w:rsidP="001430AC">
            <w:pPr>
              <w:rPr>
                <w:color w:val="000000"/>
                <w:sz w:val="22"/>
                <w:szCs w:val="22"/>
              </w:rPr>
            </w:pPr>
            <w:r w:rsidRPr="005E30E6">
              <w:rPr>
                <w:color w:val="000000"/>
                <w:sz w:val="22"/>
                <w:szCs w:val="22"/>
              </w:rPr>
              <w:t>Other costs</w:t>
            </w:r>
          </w:p>
        </w:tc>
        <w:tc>
          <w:tcPr>
            <w:tcW w:w="1559" w:type="dxa"/>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57</w:t>
            </w:r>
          </w:p>
        </w:tc>
        <w:tc>
          <w:tcPr>
            <w:tcW w:w="1417" w:type="dxa"/>
            <w:tcBorders>
              <w:top w:val="nil"/>
              <w:left w:val="nil"/>
              <w:bottom w:val="nil"/>
              <w:right w:val="nil"/>
            </w:tcBorders>
            <w:shd w:val="clear" w:color="auto" w:fill="auto"/>
            <w:noWrap/>
            <w:vAlign w:val="bottom"/>
            <w:hideMark/>
          </w:tcPr>
          <w:p w:rsidR="001430AC" w:rsidRPr="00C66B91" w:rsidRDefault="001430AC" w:rsidP="001430AC">
            <w:pPr>
              <w:jc w:val="right"/>
              <w:rPr>
                <w:color w:val="000000"/>
                <w:sz w:val="22"/>
                <w:szCs w:val="22"/>
                <w:lang w:val="en-GB"/>
              </w:rPr>
            </w:pPr>
            <w:r w:rsidRPr="00C66B91">
              <w:rPr>
                <w:color w:val="000000"/>
                <w:sz w:val="22"/>
                <w:szCs w:val="22"/>
                <w:lang w:val="en-GB"/>
              </w:rPr>
              <w:t>127</w:t>
            </w:r>
          </w:p>
        </w:tc>
      </w:tr>
      <w:tr w:rsidR="001430AC" w:rsidRPr="00C66B91" w:rsidTr="00D14081">
        <w:trPr>
          <w:trHeight w:val="525"/>
        </w:trPr>
        <w:tc>
          <w:tcPr>
            <w:tcW w:w="6096" w:type="dxa"/>
            <w:tcBorders>
              <w:top w:val="nil"/>
              <w:left w:val="nil"/>
              <w:bottom w:val="nil"/>
              <w:right w:val="nil"/>
            </w:tcBorders>
            <w:shd w:val="clear" w:color="auto" w:fill="auto"/>
            <w:vAlign w:val="center"/>
            <w:hideMark/>
          </w:tcPr>
          <w:p w:rsidR="001430AC" w:rsidRPr="005E30E6" w:rsidRDefault="001430AC" w:rsidP="001430AC">
            <w:pPr>
              <w:jc w:val="right"/>
              <w:rPr>
                <w:b/>
                <w:bCs/>
                <w:color w:val="000000"/>
                <w:sz w:val="22"/>
                <w:szCs w:val="22"/>
              </w:rPr>
            </w:pPr>
            <w:r w:rsidRPr="005E30E6">
              <w:rPr>
                <w:b/>
                <w:bCs/>
                <w:color w:val="000000"/>
                <w:sz w:val="22"/>
                <w:szCs w:val="22"/>
              </w:rPr>
              <w:t>Total</w:t>
            </w:r>
          </w:p>
        </w:tc>
        <w:tc>
          <w:tcPr>
            <w:tcW w:w="1559" w:type="dxa"/>
            <w:tcBorders>
              <w:top w:val="single" w:sz="8" w:space="0" w:color="auto"/>
              <w:left w:val="nil"/>
              <w:bottom w:val="double" w:sz="6" w:space="0" w:color="auto"/>
              <w:right w:val="nil"/>
            </w:tcBorders>
            <w:shd w:val="clear" w:color="auto" w:fill="auto"/>
            <w:vAlign w:val="center"/>
            <w:hideMark/>
          </w:tcPr>
          <w:p w:rsidR="001430AC" w:rsidRPr="00C66B91" w:rsidRDefault="001430AC" w:rsidP="001430AC">
            <w:pPr>
              <w:jc w:val="right"/>
              <w:rPr>
                <w:b/>
                <w:bCs/>
                <w:color w:val="000000"/>
                <w:sz w:val="22"/>
                <w:szCs w:val="22"/>
                <w:lang w:val="en-GB"/>
              </w:rPr>
            </w:pPr>
            <w:r w:rsidRPr="00C66B91">
              <w:rPr>
                <w:b/>
                <w:bCs/>
                <w:color w:val="000000"/>
                <w:sz w:val="22"/>
                <w:szCs w:val="22"/>
                <w:lang w:val="en-GB"/>
              </w:rPr>
              <w:t>3,413</w:t>
            </w:r>
          </w:p>
        </w:tc>
        <w:tc>
          <w:tcPr>
            <w:tcW w:w="1417" w:type="dxa"/>
            <w:tcBorders>
              <w:top w:val="single" w:sz="8" w:space="0" w:color="auto"/>
              <w:left w:val="nil"/>
              <w:bottom w:val="double" w:sz="6" w:space="0" w:color="auto"/>
              <w:right w:val="nil"/>
            </w:tcBorders>
            <w:shd w:val="clear" w:color="auto" w:fill="auto"/>
            <w:vAlign w:val="center"/>
            <w:hideMark/>
          </w:tcPr>
          <w:p w:rsidR="001430AC" w:rsidRPr="00C66B91" w:rsidRDefault="001430AC" w:rsidP="001430AC">
            <w:pPr>
              <w:jc w:val="right"/>
              <w:rPr>
                <w:b/>
                <w:bCs/>
                <w:color w:val="000000"/>
                <w:sz w:val="22"/>
                <w:szCs w:val="22"/>
                <w:lang w:val="en-GB"/>
              </w:rPr>
            </w:pPr>
            <w:r w:rsidRPr="00C66B91">
              <w:rPr>
                <w:b/>
                <w:bCs/>
                <w:color w:val="000000"/>
                <w:sz w:val="22"/>
                <w:szCs w:val="22"/>
                <w:lang w:val="en-GB"/>
              </w:rPr>
              <w:t>3,315</w:t>
            </w:r>
          </w:p>
        </w:tc>
      </w:tr>
    </w:tbl>
    <w:p w:rsidR="004B7BBB" w:rsidRPr="00C66B91" w:rsidRDefault="004B7BBB" w:rsidP="00E922D1">
      <w:pPr>
        <w:autoSpaceDE w:val="0"/>
        <w:autoSpaceDN w:val="0"/>
        <w:adjustRightInd w:val="0"/>
        <w:rPr>
          <w:b/>
          <w:sz w:val="22"/>
          <w:szCs w:val="22"/>
          <w:lang w:val="en-GB"/>
        </w:rPr>
      </w:pPr>
    </w:p>
    <w:p w:rsidR="001430AC" w:rsidRPr="005E30E6" w:rsidRDefault="001430AC" w:rsidP="001430AC">
      <w:pPr>
        <w:pStyle w:val="ListParagraph"/>
        <w:autoSpaceDE w:val="0"/>
        <w:autoSpaceDN w:val="0"/>
        <w:adjustRightInd w:val="0"/>
        <w:ind w:left="0"/>
        <w:rPr>
          <w:b/>
          <w:sz w:val="22"/>
          <w:szCs w:val="22"/>
        </w:rPr>
      </w:pPr>
      <w:r w:rsidRPr="005E30E6">
        <w:rPr>
          <w:b/>
          <w:sz w:val="22"/>
          <w:szCs w:val="22"/>
        </w:rPr>
        <w:t xml:space="preserve">16. COSTS </w:t>
      </w:r>
      <w:r>
        <w:rPr>
          <w:b/>
          <w:sz w:val="22"/>
          <w:szCs w:val="22"/>
        </w:rPr>
        <w:t>OF</w:t>
      </w:r>
      <w:r w:rsidRPr="005E30E6">
        <w:rPr>
          <w:b/>
          <w:sz w:val="22"/>
          <w:szCs w:val="22"/>
        </w:rPr>
        <w:t xml:space="preserve"> </w:t>
      </w:r>
      <w:r>
        <w:rPr>
          <w:b/>
          <w:sz w:val="22"/>
          <w:szCs w:val="22"/>
        </w:rPr>
        <w:t>HIRED</w:t>
      </w:r>
      <w:r w:rsidRPr="005E30E6">
        <w:rPr>
          <w:b/>
          <w:sz w:val="22"/>
          <w:szCs w:val="22"/>
        </w:rPr>
        <w:t xml:space="preserve"> SERVICES</w:t>
      </w:r>
    </w:p>
    <w:p w:rsidR="00E922D1" w:rsidRPr="00C66B91" w:rsidRDefault="00E922D1" w:rsidP="00E922D1">
      <w:pPr>
        <w:autoSpaceDE w:val="0"/>
        <w:autoSpaceDN w:val="0"/>
        <w:adjustRightInd w:val="0"/>
        <w:rPr>
          <w:sz w:val="22"/>
          <w:szCs w:val="22"/>
          <w:lang w:val="en-GB"/>
        </w:rPr>
      </w:pPr>
    </w:p>
    <w:tbl>
      <w:tblPr>
        <w:tblW w:w="5009" w:type="pct"/>
        <w:tblLook w:val="0000" w:firstRow="0" w:lastRow="0" w:firstColumn="0" w:lastColumn="0" w:noHBand="0" w:noVBand="0"/>
      </w:tblPr>
      <w:tblGrid>
        <w:gridCol w:w="6197"/>
        <w:gridCol w:w="1524"/>
        <w:gridCol w:w="1384"/>
      </w:tblGrid>
      <w:tr w:rsidR="00D14081" w:rsidRPr="00C66B91" w:rsidTr="00C46C22">
        <w:tc>
          <w:tcPr>
            <w:tcW w:w="3403" w:type="pct"/>
          </w:tcPr>
          <w:p w:rsidR="00D14081" w:rsidRPr="00DB5436" w:rsidRDefault="00DB5436" w:rsidP="00DB5436">
            <w:pPr>
              <w:autoSpaceDE w:val="0"/>
              <w:autoSpaceDN w:val="0"/>
              <w:adjustRightInd w:val="0"/>
              <w:rPr>
                <w:b/>
                <w:sz w:val="22"/>
                <w:szCs w:val="22"/>
              </w:rPr>
            </w:pPr>
            <w:r w:rsidRPr="005E30E6">
              <w:rPr>
                <w:sz w:val="22"/>
                <w:szCs w:val="22"/>
              </w:rPr>
              <w:t>The costs for external services include:</w:t>
            </w:r>
          </w:p>
        </w:tc>
        <w:tc>
          <w:tcPr>
            <w:tcW w:w="837" w:type="pct"/>
            <w:vAlign w:val="center"/>
          </w:tcPr>
          <w:p w:rsidR="00D14081" w:rsidRPr="00C66B91" w:rsidRDefault="008A588E" w:rsidP="00D14081">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D14081" w:rsidRPr="00C66B91">
              <w:rPr>
                <w:b/>
                <w:sz w:val="22"/>
                <w:szCs w:val="22"/>
                <w:lang w:val="en-GB"/>
              </w:rPr>
              <w:t>.2015</w:t>
            </w:r>
          </w:p>
          <w:p w:rsidR="00D14081" w:rsidRPr="00C66B91" w:rsidRDefault="00D14081" w:rsidP="00D14081">
            <w:pPr>
              <w:autoSpaceDE w:val="0"/>
              <w:autoSpaceDN w:val="0"/>
              <w:adjustRightInd w:val="0"/>
              <w:jc w:val="center"/>
              <w:rPr>
                <w:b/>
                <w:sz w:val="22"/>
                <w:szCs w:val="22"/>
                <w:lang w:val="en-GB"/>
              </w:rPr>
            </w:pPr>
            <w:r w:rsidRPr="00C66B91">
              <w:rPr>
                <w:b/>
                <w:sz w:val="22"/>
                <w:szCs w:val="22"/>
                <w:lang w:val="en-GB"/>
              </w:rPr>
              <w:t>BGN’000</w:t>
            </w:r>
          </w:p>
        </w:tc>
        <w:tc>
          <w:tcPr>
            <w:tcW w:w="760" w:type="pct"/>
            <w:vAlign w:val="center"/>
          </w:tcPr>
          <w:p w:rsidR="00D14081" w:rsidRPr="00C66B91" w:rsidRDefault="008A588E" w:rsidP="00D14081">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D14081" w:rsidRPr="00C66B91">
              <w:rPr>
                <w:b/>
                <w:sz w:val="22"/>
                <w:szCs w:val="22"/>
                <w:lang w:val="en-GB"/>
              </w:rPr>
              <w:t>.2014</w:t>
            </w:r>
          </w:p>
          <w:p w:rsidR="00D14081" w:rsidRPr="00C66B91" w:rsidRDefault="00D14081" w:rsidP="00D14081">
            <w:pPr>
              <w:autoSpaceDE w:val="0"/>
              <w:autoSpaceDN w:val="0"/>
              <w:adjustRightInd w:val="0"/>
              <w:jc w:val="center"/>
              <w:rPr>
                <w:b/>
                <w:sz w:val="22"/>
                <w:szCs w:val="22"/>
                <w:lang w:val="en-GB"/>
              </w:rPr>
            </w:pPr>
            <w:r w:rsidRPr="00C66B91">
              <w:rPr>
                <w:b/>
                <w:sz w:val="22"/>
                <w:szCs w:val="22"/>
                <w:lang w:val="en-GB"/>
              </w:rPr>
              <w:t>BGN’000</w:t>
            </w:r>
          </w:p>
        </w:tc>
      </w:tr>
      <w:tr w:rsidR="00E922D1" w:rsidRPr="00C66B91" w:rsidTr="00C46C22">
        <w:tc>
          <w:tcPr>
            <w:tcW w:w="3403" w:type="pct"/>
            <w:vAlign w:val="center"/>
          </w:tcPr>
          <w:p w:rsidR="00E922D1" w:rsidRPr="00C66B91" w:rsidRDefault="00E922D1" w:rsidP="00C46C22">
            <w:pPr>
              <w:rPr>
                <w:sz w:val="22"/>
                <w:szCs w:val="22"/>
                <w:lang w:val="en-GB"/>
              </w:rPr>
            </w:pPr>
          </w:p>
        </w:tc>
        <w:tc>
          <w:tcPr>
            <w:tcW w:w="837" w:type="pct"/>
            <w:tcMar>
              <w:right w:w="284" w:type="dxa"/>
            </w:tcMar>
            <w:vAlign w:val="center"/>
          </w:tcPr>
          <w:p w:rsidR="00E922D1" w:rsidRPr="00C66B91" w:rsidRDefault="00E922D1" w:rsidP="00C46C22">
            <w:pPr>
              <w:jc w:val="right"/>
              <w:rPr>
                <w:sz w:val="22"/>
                <w:szCs w:val="22"/>
                <w:lang w:val="en-GB"/>
              </w:rPr>
            </w:pPr>
          </w:p>
        </w:tc>
        <w:tc>
          <w:tcPr>
            <w:tcW w:w="760" w:type="pct"/>
            <w:tcMar>
              <w:right w:w="284" w:type="dxa"/>
            </w:tcMar>
            <w:vAlign w:val="center"/>
          </w:tcPr>
          <w:p w:rsidR="00E922D1" w:rsidRPr="00C66B91" w:rsidRDefault="00E922D1" w:rsidP="00C46C22">
            <w:pPr>
              <w:jc w:val="right"/>
              <w:rPr>
                <w:sz w:val="22"/>
                <w:szCs w:val="22"/>
                <w:lang w:val="en-GB"/>
              </w:rPr>
            </w:pPr>
          </w:p>
        </w:tc>
      </w:tr>
      <w:tr w:rsidR="001430AC" w:rsidRPr="00C66B91" w:rsidTr="00D92459">
        <w:tc>
          <w:tcPr>
            <w:tcW w:w="3403" w:type="pct"/>
            <w:tcBorders>
              <w:top w:val="nil"/>
              <w:left w:val="nil"/>
              <w:bottom w:val="nil"/>
              <w:right w:val="nil"/>
            </w:tcBorders>
            <w:shd w:val="clear" w:color="auto" w:fill="auto"/>
            <w:vAlign w:val="center"/>
          </w:tcPr>
          <w:p w:rsidR="001430AC" w:rsidRPr="005E30E6" w:rsidRDefault="001430AC" w:rsidP="001430AC">
            <w:pPr>
              <w:rPr>
                <w:color w:val="000000"/>
                <w:sz w:val="22"/>
                <w:szCs w:val="22"/>
              </w:rPr>
            </w:pPr>
            <w:r w:rsidRPr="005E30E6">
              <w:rPr>
                <w:color w:val="000000"/>
                <w:sz w:val="22"/>
                <w:szCs w:val="22"/>
              </w:rPr>
              <w:t>Costs for subcontractors</w:t>
            </w:r>
          </w:p>
        </w:tc>
        <w:tc>
          <w:tcPr>
            <w:tcW w:w="837" w:type="pct"/>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26,233</w:t>
            </w:r>
          </w:p>
        </w:tc>
        <w:tc>
          <w:tcPr>
            <w:tcW w:w="760" w:type="pct"/>
            <w:tcBorders>
              <w:top w:val="nil"/>
              <w:left w:val="nil"/>
              <w:bottom w:val="nil"/>
              <w:right w:val="nil"/>
            </w:tcBorders>
            <w:shd w:val="clear" w:color="auto" w:fill="auto"/>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12,088</w:t>
            </w:r>
          </w:p>
        </w:tc>
      </w:tr>
      <w:tr w:rsidR="001430AC" w:rsidRPr="00C66B91" w:rsidTr="00D92459">
        <w:tc>
          <w:tcPr>
            <w:tcW w:w="3403" w:type="pct"/>
            <w:tcBorders>
              <w:top w:val="nil"/>
              <w:left w:val="nil"/>
              <w:bottom w:val="nil"/>
              <w:right w:val="nil"/>
            </w:tcBorders>
            <w:shd w:val="clear" w:color="auto" w:fill="auto"/>
            <w:vAlign w:val="center"/>
          </w:tcPr>
          <w:p w:rsidR="001430AC" w:rsidRPr="005E30E6" w:rsidRDefault="001430AC" w:rsidP="001430AC">
            <w:pPr>
              <w:rPr>
                <w:color w:val="000000"/>
                <w:sz w:val="22"/>
                <w:szCs w:val="22"/>
              </w:rPr>
            </w:pPr>
            <w:r w:rsidRPr="005E30E6">
              <w:rPr>
                <w:color w:val="000000"/>
                <w:sz w:val="22"/>
                <w:szCs w:val="22"/>
              </w:rPr>
              <w:t>Costs for rents</w:t>
            </w:r>
          </w:p>
        </w:tc>
        <w:tc>
          <w:tcPr>
            <w:tcW w:w="837" w:type="pct"/>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1,531</w:t>
            </w:r>
          </w:p>
        </w:tc>
        <w:tc>
          <w:tcPr>
            <w:tcW w:w="760" w:type="pct"/>
            <w:tcBorders>
              <w:top w:val="nil"/>
              <w:left w:val="nil"/>
              <w:bottom w:val="nil"/>
              <w:right w:val="nil"/>
            </w:tcBorders>
            <w:shd w:val="clear" w:color="auto" w:fill="auto"/>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1,008</w:t>
            </w:r>
          </w:p>
        </w:tc>
      </w:tr>
      <w:tr w:rsidR="001430AC" w:rsidRPr="00C66B91" w:rsidTr="00D92459">
        <w:tc>
          <w:tcPr>
            <w:tcW w:w="3403" w:type="pct"/>
            <w:tcBorders>
              <w:top w:val="nil"/>
              <w:left w:val="nil"/>
              <w:bottom w:val="nil"/>
              <w:right w:val="nil"/>
            </w:tcBorders>
            <w:shd w:val="clear" w:color="auto" w:fill="auto"/>
            <w:vAlign w:val="center"/>
          </w:tcPr>
          <w:p w:rsidR="001430AC" w:rsidRPr="005E30E6" w:rsidRDefault="001430AC" w:rsidP="001430AC">
            <w:pPr>
              <w:rPr>
                <w:color w:val="000000"/>
                <w:sz w:val="22"/>
                <w:szCs w:val="22"/>
              </w:rPr>
            </w:pPr>
            <w:r w:rsidRPr="005E30E6">
              <w:rPr>
                <w:color w:val="000000"/>
                <w:sz w:val="22"/>
                <w:szCs w:val="22"/>
              </w:rPr>
              <w:t>Costs for communications and utilities</w:t>
            </w:r>
          </w:p>
        </w:tc>
        <w:tc>
          <w:tcPr>
            <w:tcW w:w="837" w:type="pct"/>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1,053</w:t>
            </w:r>
          </w:p>
        </w:tc>
        <w:tc>
          <w:tcPr>
            <w:tcW w:w="760" w:type="pct"/>
            <w:tcBorders>
              <w:top w:val="nil"/>
              <w:left w:val="nil"/>
              <w:bottom w:val="nil"/>
              <w:right w:val="nil"/>
            </w:tcBorders>
            <w:shd w:val="clear" w:color="auto" w:fill="auto"/>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869</w:t>
            </w:r>
          </w:p>
        </w:tc>
      </w:tr>
      <w:tr w:rsidR="001430AC" w:rsidRPr="00C66B91" w:rsidTr="00D92459">
        <w:tc>
          <w:tcPr>
            <w:tcW w:w="3403" w:type="pct"/>
            <w:tcBorders>
              <w:top w:val="nil"/>
              <w:left w:val="nil"/>
              <w:bottom w:val="nil"/>
              <w:right w:val="nil"/>
            </w:tcBorders>
            <w:shd w:val="clear" w:color="auto" w:fill="auto"/>
            <w:vAlign w:val="center"/>
          </w:tcPr>
          <w:p w:rsidR="001430AC" w:rsidRPr="005E30E6" w:rsidRDefault="001430AC" w:rsidP="001430AC">
            <w:pPr>
              <w:rPr>
                <w:color w:val="000000"/>
                <w:sz w:val="22"/>
                <w:szCs w:val="22"/>
              </w:rPr>
            </w:pPr>
            <w:r w:rsidRPr="005E30E6">
              <w:rPr>
                <w:color w:val="000000"/>
                <w:sz w:val="22"/>
                <w:szCs w:val="22"/>
              </w:rPr>
              <w:t>Costs for maintenance of vehicles</w:t>
            </w:r>
          </w:p>
        </w:tc>
        <w:tc>
          <w:tcPr>
            <w:tcW w:w="837" w:type="pct"/>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662</w:t>
            </w:r>
          </w:p>
        </w:tc>
        <w:tc>
          <w:tcPr>
            <w:tcW w:w="760" w:type="pct"/>
            <w:tcBorders>
              <w:top w:val="nil"/>
              <w:left w:val="nil"/>
              <w:bottom w:val="nil"/>
              <w:right w:val="nil"/>
            </w:tcBorders>
            <w:shd w:val="clear" w:color="auto" w:fill="auto"/>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675</w:t>
            </w:r>
          </w:p>
        </w:tc>
      </w:tr>
      <w:tr w:rsidR="001430AC" w:rsidRPr="00C66B91" w:rsidTr="00D92459">
        <w:tc>
          <w:tcPr>
            <w:tcW w:w="3403" w:type="pct"/>
            <w:tcBorders>
              <w:top w:val="nil"/>
              <w:left w:val="nil"/>
              <w:bottom w:val="nil"/>
              <w:right w:val="nil"/>
            </w:tcBorders>
            <w:shd w:val="clear" w:color="auto" w:fill="auto"/>
            <w:vAlign w:val="center"/>
          </w:tcPr>
          <w:p w:rsidR="001430AC" w:rsidRPr="005E30E6" w:rsidRDefault="001430AC" w:rsidP="001430AC">
            <w:pPr>
              <w:rPr>
                <w:color w:val="000000"/>
                <w:sz w:val="22"/>
                <w:szCs w:val="22"/>
              </w:rPr>
            </w:pPr>
            <w:r w:rsidRPr="005E30E6">
              <w:rPr>
                <w:color w:val="000000"/>
                <w:sz w:val="22"/>
                <w:szCs w:val="22"/>
              </w:rPr>
              <w:t>Costs for insurances</w:t>
            </w:r>
          </w:p>
        </w:tc>
        <w:tc>
          <w:tcPr>
            <w:tcW w:w="837" w:type="pct"/>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477</w:t>
            </w:r>
          </w:p>
        </w:tc>
        <w:tc>
          <w:tcPr>
            <w:tcW w:w="760" w:type="pct"/>
            <w:tcBorders>
              <w:top w:val="nil"/>
              <w:left w:val="nil"/>
              <w:bottom w:val="nil"/>
              <w:right w:val="nil"/>
            </w:tcBorders>
            <w:shd w:val="clear" w:color="auto" w:fill="auto"/>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493</w:t>
            </w:r>
          </w:p>
        </w:tc>
      </w:tr>
      <w:tr w:rsidR="001430AC" w:rsidRPr="00C66B91" w:rsidTr="00D92459">
        <w:tc>
          <w:tcPr>
            <w:tcW w:w="3403" w:type="pct"/>
            <w:tcBorders>
              <w:top w:val="nil"/>
              <w:left w:val="nil"/>
              <w:bottom w:val="nil"/>
              <w:right w:val="nil"/>
            </w:tcBorders>
            <w:shd w:val="clear" w:color="auto" w:fill="auto"/>
            <w:vAlign w:val="center"/>
          </w:tcPr>
          <w:p w:rsidR="001430AC" w:rsidRPr="005E30E6" w:rsidRDefault="001430AC" w:rsidP="001430AC">
            <w:pPr>
              <w:rPr>
                <w:color w:val="000000"/>
                <w:sz w:val="22"/>
                <w:szCs w:val="22"/>
              </w:rPr>
            </w:pPr>
            <w:r w:rsidRPr="005E30E6">
              <w:rPr>
                <w:color w:val="000000"/>
                <w:sz w:val="22"/>
                <w:szCs w:val="22"/>
              </w:rPr>
              <w:t>Costs for maintenance of offices and warehouses</w:t>
            </w:r>
          </w:p>
        </w:tc>
        <w:tc>
          <w:tcPr>
            <w:tcW w:w="837" w:type="pct"/>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177</w:t>
            </w:r>
          </w:p>
        </w:tc>
        <w:tc>
          <w:tcPr>
            <w:tcW w:w="760" w:type="pct"/>
            <w:tcBorders>
              <w:top w:val="nil"/>
              <w:left w:val="nil"/>
              <w:bottom w:val="nil"/>
              <w:right w:val="nil"/>
            </w:tcBorders>
            <w:shd w:val="clear" w:color="auto" w:fill="auto"/>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89</w:t>
            </w:r>
          </w:p>
        </w:tc>
      </w:tr>
      <w:tr w:rsidR="001430AC" w:rsidRPr="00C66B91" w:rsidTr="00D92459">
        <w:tc>
          <w:tcPr>
            <w:tcW w:w="3403" w:type="pct"/>
            <w:tcBorders>
              <w:top w:val="nil"/>
              <w:left w:val="nil"/>
              <w:bottom w:val="nil"/>
              <w:right w:val="nil"/>
            </w:tcBorders>
            <w:shd w:val="clear" w:color="auto" w:fill="auto"/>
            <w:vAlign w:val="center"/>
          </w:tcPr>
          <w:p w:rsidR="001430AC" w:rsidRPr="005E30E6" w:rsidRDefault="001430AC" w:rsidP="001430AC">
            <w:pPr>
              <w:rPr>
                <w:color w:val="000000"/>
                <w:sz w:val="22"/>
                <w:szCs w:val="22"/>
              </w:rPr>
            </w:pPr>
            <w:r w:rsidRPr="005E30E6">
              <w:rPr>
                <w:color w:val="000000"/>
                <w:sz w:val="22"/>
                <w:szCs w:val="22"/>
              </w:rPr>
              <w:t xml:space="preserve">Costs for staff </w:t>
            </w:r>
            <w:r>
              <w:rPr>
                <w:color w:val="000000"/>
                <w:sz w:val="22"/>
                <w:szCs w:val="22"/>
              </w:rPr>
              <w:t>training</w:t>
            </w:r>
          </w:p>
        </w:tc>
        <w:tc>
          <w:tcPr>
            <w:tcW w:w="837" w:type="pct"/>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178</w:t>
            </w:r>
          </w:p>
        </w:tc>
        <w:tc>
          <w:tcPr>
            <w:tcW w:w="760" w:type="pct"/>
            <w:tcBorders>
              <w:top w:val="nil"/>
              <w:left w:val="nil"/>
              <w:bottom w:val="nil"/>
              <w:right w:val="nil"/>
            </w:tcBorders>
            <w:shd w:val="clear" w:color="auto" w:fill="auto"/>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90</w:t>
            </w:r>
          </w:p>
        </w:tc>
      </w:tr>
      <w:tr w:rsidR="001430AC" w:rsidRPr="00C66B91" w:rsidTr="00D92459">
        <w:tc>
          <w:tcPr>
            <w:tcW w:w="3403" w:type="pct"/>
            <w:tcBorders>
              <w:top w:val="nil"/>
              <w:left w:val="nil"/>
              <w:bottom w:val="nil"/>
              <w:right w:val="nil"/>
            </w:tcBorders>
            <w:shd w:val="clear" w:color="auto" w:fill="auto"/>
            <w:vAlign w:val="center"/>
          </w:tcPr>
          <w:p w:rsidR="001430AC" w:rsidRPr="005E30E6" w:rsidRDefault="001430AC" w:rsidP="001430AC">
            <w:pPr>
              <w:rPr>
                <w:color w:val="000000"/>
                <w:sz w:val="22"/>
                <w:szCs w:val="22"/>
              </w:rPr>
            </w:pPr>
            <w:r w:rsidRPr="005E30E6">
              <w:rPr>
                <w:color w:val="000000"/>
                <w:sz w:val="22"/>
                <w:szCs w:val="22"/>
              </w:rPr>
              <w:t>Costs for marketing</w:t>
            </w:r>
          </w:p>
        </w:tc>
        <w:tc>
          <w:tcPr>
            <w:tcW w:w="837" w:type="pct"/>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421</w:t>
            </w:r>
          </w:p>
        </w:tc>
        <w:tc>
          <w:tcPr>
            <w:tcW w:w="760" w:type="pct"/>
            <w:tcBorders>
              <w:top w:val="nil"/>
              <w:left w:val="nil"/>
              <w:bottom w:val="nil"/>
              <w:right w:val="nil"/>
            </w:tcBorders>
            <w:shd w:val="clear" w:color="auto" w:fill="auto"/>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95</w:t>
            </w:r>
          </w:p>
        </w:tc>
      </w:tr>
      <w:tr w:rsidR="001430AC" w:rsidRPr="00C66B91" w:rsidTr="00D92459">
        <w:tc>
          <w:tcPr>
            <w:tcW w:w="3403" w:type="pct"/>
            <w:tcBorders>
              <w:top w:val="nil"/>
              <w:left w:val="nil"/>
              <w:bottom w:val="nil"/>
              <w:right w:val="nil"/>
            </w:tcBorders>
            <w:shd w:val="clear" w:color="auto" w:fill="auto"/>
            <w:vAlign w:val="center"/>
          </w:tcPr>
          <w:p w:rsidR="001430AC" w:rsidRPr="005E30E6" w:rsidRDefault="001430AC" w:rsidP="001430AC">
            <w:pPr>
              <w:rPr>
                <w:color w:val="000000"/>
                <w:sz w:val="22"/>
                <w:szCs w:val="22"/>
              </w:rPr>
            </w:pPr>
            <w:r w:rsidRPr="005E30E6">
              <w:rPr>
                <w:color w:val="000000"/>
                <w:sz w:val="22"/>
                <w:szCs w:val="22"/>
              </w:rPr>
              <w:t>Other costs</w:t>
            </w:r>
          </w:p>
        </w:tc>
        <w:tc>
          <w:tcPr>
            <w:tcW w:w="837" w:type="pct"/>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961</w:t>
            </w:r>
          </w:p>
        </w:tc>
        <w:tc>
          <w:tcPr>
            <w:tcW w:w="760" w:type="pct"/>
            <w:tcBorders>
              <w:top w:val="nil"/>
              <w:left w:val="nil"/>
              <w:bottom w:val="nil"/>
              <w:right w:val="nil"/>
            </w:tcBorders>
            <w:shd w:val="clear" w:color="auto" w:fill="auto"/>
            <w:tcMar>
              <w:right w:w="284" w:type="dxa"/>
            </w:tcMar>
            <w:vAlign w:val="center"/>
          </w:tcPr>
          <w:p w:rsidR="001430AC" w:rsidRPr="00C66B91" w:rsidRDefault="001430AC" w:rsidP="001430AC">
            <w:pPr>
              <w:jc w:val="right"/>
              <w:rPr>
                <w:color w:val="000000"/>
                <w:sz w:val="22"/>
                <w:szCs w:val="22"/>
                <w:lang w:val="en-GB"/>
              </w:rPr>
            </w:pPr>
            <w:r w:rsidRPr="00C66B91">
              <w:rPr>
                <w:color w:val="000000"/>
                <w:sz w:val="22"/>
                <w:szCs w:val="22"/>
                <w:lang w:val="en-GB"/>
              </w:rPr>
              <w:t>451</w:t>
            </w:r>
          </w:p>
        </w:tc>
      </w:tr>
      <w:tr w:rsidR="001430AC" w:rsidRPr="00C66B91" w:rsidTr="00911666">
        <w:tc>
          <w:tcPr>
            <w:tcW w:w="3403" w:type="pct"/>
            <w:tcBorders>
              <w:top w:val="nil"/>
              <w:left w:val="nil"/>
              <w:bottom w:val="nil"/>
              <w:right w:val="nil"/>
            </w:tcBorders>
            <w:shd w:val="clear" w:color="auto" w:fill="auto"/>
            <w:vAlign w:val="center"/>
          </w:tcPr>
          <w:p w:rsidR="001430AC" w:rsidRPr="005E30E6" w:rsidRDefault="001430AC" w:rsidP="001430AC">
            <w:pPr>
              <w:jc w:val="right"/>
              <w:rPr>
                <w:b/>
                <w:bCs/>
                <w:color w:val="000000"/>
                <w:sz w:val="22"/>
                <w:szCs w:val="22"/>
              </w:rPr>
            </w:pPr>
            <w:r w:rsidRPr="005E30E6">
              <w:rPr>
                <w:b/>
                <w:bCs/>
                <w:color w:val="000000"/>
                <w:sz w:val="22"/>
                <w:szCs w:val="22"/>
              </w:rPr>
              <w:t xml:space="preserve">Total </w:t>
            </w:r>
          </w:p>
        </w:tc>
        <w:tc>
          <w:tcPr>
            <w:tcW w:w="837" w:type="pct"/>
            <w:tcBorders>
              <w:top w:val="single" w:sz="8" w:space="0" w:color="auto"/>
              <w:left w:val="nil"/>
              <w:bottom w:val="double" w:sz="6" w:space="0" w:color="auto"/>
              <w:right w:val="nil"/>
            </w:tcBorders>
            <w:shd w:val="clear" w:color="auto" w:fill="auto"/>
            <w:tcMar>
              <w:right w:w="284" w:type="dxa"/>
            </w:tcMar>
            <w:vAlign w:val="center"/>
          </w:tcPr>
          <w:p w:rsidR="001430AC" w:rsidRPr="00C66B91" w:rsidRDefault="001430AC" w:rsidP="001430AC">
            <w:pPr>
              <w:jc w:val="right"/>
              <w:rPr>
                <w:b/>
                <w:bCs/>
                <w:color w:val="000000"/>
                <w:sz w:val="22"/>
                <w:szCs w:val="22"/>
                <w:lang w:val="en-GB"/>
              </w:rPr>
            </w:pPr>
            <w:r w:rsidRPr="00C66B91">
              <w:rPr>
                <w:b/>
                <w:bCs/>
                <w:color w:val="000000"/>
                <w:sz w:val="22"/>
                <w:szCs w:val="22"/>
                <w:lang w:val="en-GB"/>
              </w:rPr>
              <w:t>31,693</w:t>
            </w:r>
          </w:p>
        </w:tc>
        <w:tc>
          <w:tcPr>
            <w:tcW w:w="760" w:type="pct"/>
            <w:tcBorders>
              <w:top w:val="single" w:sz="8" w:space="0" w:color="auto"/>
              <w:left w:val="nil"/>
              <w:bottom w:val="double" w:sz="6" w:space="0" w:color="auto"/>
              <w:right w:val="nil"/>
            </w:tcBorders>
            <w:shd w:val="clear" w:color="auto" w:fill="auto"/>
            <w:tcMar>
              <w:right w:w="284" w:type="dxa"/>
            </w:tcMar>
            <w:vAlign w:val="center"/>
          </w:tcPr>
          <w:p w:rsidR="001430AC" w:rsidRPr="00C66B91" w:rsidRDefault="001430AC" w:rsidP="001430AC">
            <w:pPr>
              <w:jc w:val="right"/>
              <w:rPr>
                <w:b/>
                <w:bCs/>
                <w:color w:val="000000"/>
                <w:sz w:val="22"/>
                <w:szCs w:val="22"/>
                <w:lang w:val="en-GB"/>
              </w:rPr>
            </w:pPr>
            <w:r w:rsidRPr="00C66B91">
              <w:rPr>
                <w:b/>
                <w:bCs/>
                <w:color w:val="000000"/>
                <w:sz w:val="22"/>
                <w:szCs w:val="22"/>
                <w:lang w:val="en-GB"/>
              </w:rPr>
              <w:t>15,858</w:t>
            </w:r>
          </w:p>
        </w:tc>
      </w:tr>
    </w:tbl>
    <w:p w:rsidR="00E922D1" w:rsidRPr="00C66B91" w:rsidRDefault="00E922D1" w:rsidP="00E922D1">
      <w:pPr>
        <w:autoSpaceDE w:val="0"/>
        <w:autoSpaceDN w:val="0"/>
        <w:adjustRightInd w:val="0"/>
        <w:rPr>
          <w:sz w:val="22"/>
          <w:szCs w:val="22"/>
          <w:lang w:val="en-GB"/>
        </w:rPr>
      </w:pPr>
    </w:p>
    <w:p w:rsidR="00E922D1" w:rsidRPr="00C66B91" w:rsidRDefault="00E922D1" w:rsidP="00E922D1">
      <w:pPr>
        <w:autoSpaceDE w:val="0"/>
        <w:autoSpaceDN w:val="0"/>
        <w:adjustRightInd w:val="0"/>
        <w:rPr>
          <w:sz w:val="22"/>
          <w:szCs w:val="22"/>
          <w:lang w:val="en-GB"/>
        </w:rPr>
      </w:pPr>
    </w:p>
    <w:p w:rsidR="00EE3CD4" w:rsidRPr="00C66B91" w:rsidRDefault="00EE3CD4" w:rsidP="00E922D1">
      <w:pPr>
        <w:autoSpaceDE w:val="0"/>
        <w:autoSpaceDN w:val="0"/>
        <w:adjustRightInd w:val="0"/>
        <w:rPr>
          <w:sz w:val="22"/>
          <w:szCs w:val="22"/>
          <w:lang w:val="en-GB"/>
        </w:rPr>
      </w:pPr>
    </w:p>
    <w:p w:rsidR="00DB5436" w:rsidRPr="005E30E6" w:rsidRDefault="00DB5436" w:rsidP="00DB5436">
      <w:pPr>
        <w:autoSpaceDE w:val="0"/>
        <w:autoSpaceDN w:val="0"/>
        <w:adjustRightInd w:val="0"/>
        <w:rPr>
          <w:sz w:val="22"/>
          <w:szCs w:val="22"/>
        </w:rPr>
      </w:pPr>
    </w:p>
    <w:p w:rsidR="00DB5436" w:rsidRPr="005E30E6" w:rsidRDefault="00DB5436" w:rsidP="00DB5436">
      <w:pPr>
        <w:autoSpaceDE w:val="0"/>
        <w:autoSpaceDN w:val="0"/>
        <w:adjustRightInd w:val="0"/>
        <w:rPr>
          <w:b/>
          <w:sz w:val="22"/>
          <w:szCs w:val="22"/>
        </w:rPr>
      </w:pPr>
      <w:r w:rsidRPr="005E30E6">
        <w:rPr>
          <w:b/>
          <w:sz w:val="22"/>
          <w:szCs w:val="22"/>
        </w:rPr>
        <w:t xml:space="preserve">17.   </w:t>
      </w:r>
      <w:r>
        <w:rPr>
          <w:b/>
          <w:sz w:val="22"/>
          <w:szCs w:val="22"/>
        </w:rPr>
        <w:t>COMPENSATION COSTS</w:t>
      </w:r>
    </w:p>
    <w:p w:rsidR="00DB5436" w:rsidRPr="005E30E6" w:rsidRDefault="00DB5436" w:rsidP="00DB5436">
      <w:pPr>
        <w:jc w:val="both"/>
        <w:rPr>
          <w:sz w:val="22"/>
          <w:szCs w:val="22"/>
        </w:rPr>
      </w:pPr>
    </w:p>
    <w:p w:rsidR="00DB5436" w:rsidRPr="005E30E6" w:rsidRDefault="00DB5436" w:rsidP="00DB5436">
      <w:pPr>
        <w:autoSpaceDE w:val="0"/>
        <w:autoSpaceDN w:val="0"/>
        <w:adjustRightInd w:val="0"/>
        <w:rPr>
          <w:b/>
          <w:sz w:val="22"/>
          <w:szCs w:val="22"/>
        </w:rPr>
      </w:pPr>
      <w:r w:rsidRPr="005E30E6">
        <w:rPr>
          <w:sz w:val="22"/>
          <w:szCs w:val="22"/>
        </w:rPr>
        <w:t>The costs for the staff consist of:</w:t>
      </w:r>
    </w:p>
    <w:p w:rsidR="00E922D1" w:rsidRPr="00C66B91" w:rsidRDefault="00E922D1" w:rsidP="00E922D1">
      <w:pPr>
        <w:jc w:val="both"/>
        <w:rPr>
          <w:sz w:val="22"/>
          <w:szCs w:val="22"/>
          <w:lang w:val="en-GB"/>
        </w:rPr>
      </w:pPr>
    </w:p>
    <w:tbl>
      <w:tblPr>
        <w:tblW w:w="5009" w:type="pct"/>
        <w:tblLook w:val="0000" w:firstRow="0" w:lastRow="0" w:firstColumn="0" w:lastColumn="0" w:noHBand="0" w:noVBand="0"/>
      </w:tblPr>
      <w:tblGrid>
        <w:gridCol w:w="6233"/>
        <w:gridCol w:w="1490"/>
        <w:gridCol w:w="1382"/>
      </w:tblGrid>
      <w:tr w:rsidR="00D14081" w:rsidRPr="00C66B91" w:rsidTr="00C46C22">
        <w:tc>
          <w:tcPr>
            <w:tcW w:w="3423" w:type="pct"/>
          </w:tcPr>
          <w:p w:rsidR="00D14081" w:rsidRPr="00C66B91" w:rsidRDefault="00D14081" w:rsidP="00D14081">
            <w:pPr>
              <w:rPr>
                <w:b/>
                <w:sz w:val="22"/>
                <w:szCs w:val="22"/>
                <w:lang w:val="en-GB"/>
              </w:rPr>
            </w:pPr>
          </w:p>
        </w:tc>
        <w:tc>
          <w:tcPr>
            <w:tcW w:w="818" w:type="pct"/>
            <w:vAlign w:val="center"/>
          </w:tcPr>
          <w:p w:rsidR="00D14081" w:rsidRPr="00C66B91" w:rsidRDefault="008A588E" w:rsidP="00D14081">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D14081" w:rsidRPr="00C66B91">
              <w:rPr>
                <w:b/>
                <w:sz w:val="22"/>
                <w:szCs w:val="22"/>
                <w:lang w:val="en-GB"/>
              </w:rPr>
              <w:t>.2015</w:t>
            </w:r>
          </w:p>
          <w:p w:rsidR="00D14081" w:rsidRPr="00C66B91" w:rsidRDefault="00D14081" w:rsidP="00D14081">
            <w:pPr>
              <w:autoSpaceDE w:val="0"/>
              <w:autoSpaceDN w:val="0"/>
              <w:adjustRightInd w:val="0"/>
              <w:jc w:val="center"/>
              <w:rPr>
                <w:b/>
                <w:sz w:val="22"/>
                <w:szCs w:val="22"/>
                <w:lang w:val="en-GB"/>
              </w:rPr>
            </w:pPr>
            <w:r w:rsidRPr="00C66B91">
              <w:rPr>
                <w:b/>
                <w:sz w:val="22"/>
                <w:szCs w:val="22"/>
                <w:lang w:val="en-GB"/>
              </w:rPr>
              <w:t>BGN’000</w:t>
            </w:r>
          </w:p>
        </w:tc>
        <w:tc>
          <w:tcPr>
            <w:tcW w:w="759" w:type="pct"/>
            <w:vAlign w:val="center"/>
          </w:tcPr>
          <w:p w:rsidR="00D14081" w:rsidRPr="00C66B91" w:rsidRDefault="008A588E" w:rsidP="00D14081">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D14081" w:rsidRPr="00C66B91">
              <w:rPr>
                <w:b/>
                <w:sz w:val="22"/>
                <w:szCs w:val="22"/>
                <w:lang w:val="en-GB"/>
              </w:rPr>
              <w:t>.2014</w:t>
            </w:r>
          </w:p>
          <w:p w:rsidR="00D14081" w:rsidRPr="00C66B91" w:rsidRDefault="00D14081" w:rsidP="00D14081">
            <w:pPr>
              <w:autoSpaceDE w:val="0"/>
              <w:autoSpaceDN w:val="0"/>
              <w:adjustRightInd w:val="0"/>
              <w:jc w:val="center"/>
              <w:rPr>
                <w:b/>
                <w:sz w:val="22"/>
                <w:szCs w:val="22"/>
                <w:lang w:val="en-GB"/>
              </w:rPr>
            </w:pPr>
            <w:r w:rsidRPr="00C66B91">
              <w:rPr>
                <w:b/>
                <w:sz w:val="22"/>
                <w:szCs w:val="22"/>
                <w:lang w:val="en-GB"/>
              </w:rPr>
              <w:t>BGN’000</w:t>
            </w:r>
          </w:p>
        </w:tc>
      </w:tr>
      <w:tr w:rsidR="00E922D1" w:rsidRPr="00C66B91" w:rsidTr="00C46C22">
        <w:tc>
          <w:tcPr>
            <w:tcW w:w="3423" w:type="pct"/>
            <w:vAlign w:val="center"/>
          </w:tcPr>
          <w:p w:rsidR="00E922D1" w:rsidRPr="00C66B91" w:rsidRDefault="00E922D1" w:rsidP="00C46C22">
            <w:pPr>
              <w:rPr>
                <w:sz w:val="22"/>
                <w:szCs w:val="22"/>
                <w:lang w:val="en-GB"/>
              </w:rPr>
            </w:pPr>
          </w:p>
        </w:tc>
        <w:tc>
          <w:tcPr>
            <w:tcW w:w="818" w:type="pct"/>
            <w:tcMar>
              <w:right w:w="284" w:type="dxa"/>
            </w:tcMar>
            <w:vAlign w:val="center"/>
          </w:tcPr>
          <w:p w:rsidR="00E922D1" w:rsidRPr="00C66B91" w:rsidRDefault="00E922D1" w:rsidP="00C46C22">
            <w:pPr>
              <w:autoSpaceDE w:val="0"/>
              <w:autoSpaceDN w:val="0"/>
              <w:adjustRightInd w:val="0"/>
              <w:jc w:val="center"/>
              <w:rPr>
                <w:b/>
                <w:sz w:val="22"/>
                <w:szCs w:val="22"/>
                <w:lang w:val="en-GB"/>
              </w:rPr>
            </w:pPr>
          </w:p>
        </w:tc>
        <w:tc>
          <w:tcPr>
            <w:tcW w:w="759" w:type="pct"/>
            <w:tcMar>
              <w:right w:w="284" w:type="dxa"/>
            </w:tcMar>
            <w:vAlign w:val="center"/>
          </w:tcPr>
          <w:p w:rsidR="00E922D1" w:rsidRPr="00C66B91" w:rsidRDefault="00E922D1" w:rsidP="00C46C22">
            <w:pPr>
              <w:autoSpaceDE w:val="0"/>
              <w:autoSpaceDN w:val="0"/>
              <w:adjustRightInd w:val="0"/>
              <w:jc w:val="center"/>
              <w:rPr>
                <w:b/>
                <w:sz w:val="22"/>
                <w:szCs w:val="22"/>
                <w:lang w:val="en-GB"/>
              </w:rPr>
            </w:pPr>
          </w:p>
        </w:tc>
      </w:tr>
      <w:tr w:rsidR="00DB5436" w:rsidRPr="00C66B91" w:rsidTr="00C46C22">
        <w:tc>
          <w:tcPr>
            <w:tcW w:w="3423" w:type="pct"/>
            <w:vAlign w:val="center"/>
          </w:tcPr>
          <w:p w:rsidR="00DB5436" w:rsidRPr="005E30E6" w:rsidRDefault="00DB5436" w:rsidP="00DB5436">
            <w:pPr>
              <w:rPr>
                <w:sz w:val="22"/>
                <w:szCs w:val="22"/>
              </w:rPr>
            </w:pPr>
            <w:r>
              <w:rPr>
                <w:sz w:val="22"/>
                <w:szCs w:val="22"/>
              </w:rPr>
              <w:t>Salaries and wages</w:t>
            </w:r>
            <w:r w:rsidRPr="005E30E6">
              <w:rPr>
                <w:sz w:val="22"/>
                <w:szCs w:val="22"/>
              </w:rPr>
              <w:t xml:space="preserve"> </w:t>
            </w:r>
          </w:p>
        </w:tc>
        <w:tc>
          <w:tcPr>
            <w:tcW w:w="818" w:type="pct"/>
            <w:tcBorders>
              <w:top w:val="nil"/>
              <w:left w:val="nil"/>
              <w:right w:val="nil"/>
            </w:tcBorders>
            <w:tcMar>
              <w:right w:w="284" w:type="dxa"/>
            </w:tcMar>
            <w:vAlign w:val="center"/>
          </w:tcPr>
          <w:p w:rsidR="00DB5436" w:rsidRPr="00C66B91" w:rsidRDefault="00DB5436" w:rsidP="00DB5436">
            <w:pPr>
              <w:jc w:val="right"/>
              <w:rPr>
                <w:color w:val="000000"/>
                <w:sz w:val="22"/>
                <w:szCs w:val="22"/>
                <w:lang w:val="en-GB"/>
              </w:rPr>
            </w:pPr>
            <w:r w:rsidRPr="00C66B91">
              <w:rPr>
                <w:color w:val="000000"/>
                <w:sz w:val="22"/>
                <w:szCs w:val="22"/>
                <w:lang w:val="en-GB"/>
              </w:rPr>
              <w:t>8,327</w:t>
            </w:r>
          </w:p>
        </w:tc>
        <w:tc>
          <w:tcPr>
            <w:tcW w:w="759" w:type="pct"/>
            <w:tcBorders>
              <w:top w:val="nil"/>
              <w:left w:val="nil"/>
              <w:right w:val="nil"/>
            </w:tcBorders>
            <w:tcMar>
              <w:right w:w="284" w:type="dxa"/>
            </w:tcMar>
            <w:vAlign w:val="center"/>
          </w:tcPr>
          <w:p w:rsidR="00DB5436" w:rsidRPr="00C66B91" w:rsidRDefault="00DB5436" w:rsidP="00DB5436">
            <w:pPr>
              <w:jc w:val="right"/>
              <w:rPr>
                <w:color w:val="000000"/>
                <w:sz w:val="22"/>
                <w:szCs w:val="22"/>
                <w:lang w:val="en-GB"/>
              </w:rPr>
            </w:pPr>
            <w:r w:rsidRPr="00C66B91">
              <w:rPr>
                <w:color w:val="000000"/>
                <w:sz w:val="22"/>
                <w:szCs w:val="22"/>
                <w:lang w:val="en-GB"/>
              </w:rPr>
              <w:t>6,900</w:t>
            </w:r>
          </w:p>
        </w:tc>
      </w:tr>
      <w:tr w:rsidR="00DB5436" w:rsidRPr="00C66B91" w:rsidTr="00C46C22">
        <w:tc>
          <w:tcPr>
            <w:tcW w:w="3423" w:type="pct"/>
            <w:vAlign w:val="center"/>
          </w:tcPr>
          <w:p w:rsidR="00DB5436" w:rsidRPr="005E30E6" w:rsidRDefault="00DB5436" w:rsidP="00DB5436">
            <w:pPr>
              <w:rPr>
                <w:sz w:val="22"/>
                <w:szCs w:val="22"/>
              </w:rPr>
            </w:pPr>
            <w:r w:rsidRPr="005E30E6">
              <w:rPr>
                <w:sz w:val="22"/>
                <w:szCs w:val="22"/>
              </w:rPr>
              <w:t xml:space="preserve">Social security contributions </w:t>
            </w:r>
          </w:p>
        </w:tc>
        <w:tc>
          <w:tcPr>
            <w:tcW w:w="818" w:type="pct"/>
            <w:tcBorders>
              <w:top w:val="nil"/>
              <w:left w:val="nil"/>
              <w:right w:val="nil"/>
            </w:tcBorders>
            <w:tcMar>
              <w:right w:w="284" w:type="dxa"/>
            </w:tcMar>
            <w:vAlign w:val="center"/>
          </w:tcPr>
          <w:p w:rsidR="00DB5436" w:rsidRPr="00C66B91" w:rsidRDefault="00DB5436" w:rsidP="00DB5436">
            <w:pPr>
              <w:jc w:val="right"/>
              <w:rPr>
                <w:color w:val="000000"/>
                <w:sz w:val="22"/>
                <w:szCs w:val="22"/>
                <w:lang w:val="en-GB"/>
              </w:rPr>
            </w:pPr>
            <w:r w:rsidRPr="00C66B91">
              <w:rPr>
                <w:color w:val="000000"/>
                <w:sz w:val="22"/>
                <w:szCs w:val="22"/>
                <w:lang w:val="en-GB"/>
              </w:rPr>
              <w:t>2,430</w:t>
            </w:r>
          </w:p>
        </w:tc>
        <w:tc>
          <w:tcPr>
            <w:tcW w:w="759" w:type="pct"/>
            <w:tcBorders>
              <w:top w:val="nil"/>
              <w:left w:val="nil"/>
              <w:right w:val="nil"/>
            </w:tcBorders>
            <w:tcMar>
              <w:right w:w="284" w:type="dxa"/>
            </w:tcMar>
            <w:vAlign w:val="center"/>
          </w:tcPr>
          <w:p w:rsidR="00DB5436" w:rsidRPr="00C66B91" w:rsidRDefault="00DB5436" w:rsidP="00DB5436">
            <w:pPr>
              <w:jc w:val="right"/>
              <w:rPr>
                <w:color w:val="000000"/>
                <w:sz w:val="22"/>
                <w:szCs w:val="22"/>
                <w:lang w:val="en-GB"/>
              </w:rPr>
            </w:pPr>
            <w:r w:rsidRPr="00C66B91">
              <w:rPr>
                <w:color w:val="000000"/>
                <w:sz w:val="22"/>
                <w:szCs w:val="22"/>
                <w:lang w:val="en-GB"/>
              </w:rPr>
              <w:t>1,348</w:t>
            </w:r>
          </w:p>
        </w:tc>
      </w:tr>
      <w:tr w:rsidR="00DB5436" w:rsidRPr="00C66B91" w:rsidTr="00C46C22">
        <w:tc>
          <w:tcPr>
            <w:tcW w:w="3423" w:type="pct"/>
            <w:vAlign w:val="center"/>
          </w:tcPr>
          <w:p w:rsidR="00DB5436" w:rsidRPr="005E30E6" w:rsidRDefault="00DB5436" w:rsidP="00DB5436">
            <w:pPr>
              <w:jc w:val="right"/>
              <w:rPr>
                <w:b/>
                <w:sz w:val="22"/>
                <w:szCs w:val="22"/>
              </w:rPr>
            </w:pPr>
            <w:r w:rsidRPr="005E30E6">
              <w:rPr>
                <w:b/>
                <w:sz w:val="22"/>
                <w:szCs w:val="22"/>
              </w:rPr>
              <w:t>Total</w:t>
            </w:r>
          </w:p>
        </w:tc>
        <w:tc>
          <w:tcPr>
            <w:tcW w:w="818" w:type="pct"/>
            <w:tcBorders>
              <w:top w:val="single" w:sz="4" w:space="0" w:color="auto"/>
              <w:left w:val="nil"/>
              <w:bottom w:val="double" w:sz="4" w:space="0" w:color="auto"/>
              <w:right w:val="nil"/>
            </w:tcBorders>
            <w:tcMar>
              <w:right w:w="284" w:type="dxa"/>
            </w:tcMar>
            <w:vAlign w:val="center"/>
          </w:tcPr>
          <w:p w:rsidR="00DB5436" w:rsidRPr="00C66B91" w:rsidRDefault="00DB5436" w:rsidP="00DB5436">
            <w:pPr>
              <w:jc w:val="right"/>
              <w:rPr>
                <w:b/>
                <w:color w:val="000000"/>
                <w:sz w:val="22"/>
                <w:szCs w:val="22"/>
                <w:lang w:val="en-GB"/>
              </w:rPr>
            </w:pPr>
            <w:r w:rsidRPr="00C66B91">
              <w:rPr>
                <w:b/>
                <w:color w:val="000000"/>
                <w:sz w:val="22"/>
                <w:szCs w:val="22"/>
                <w:lang w:val="en-GB"/>
              </w:rPr>
              <w:t>10,757</w:t>
            </w:r>
          </w:p>
        </w:tc>
        <w:tc>
          <w:tcPr>
            <w:tcW w:w="759" w:type="pct"/>
            <w:tcBorders>
              <w:top w:val="single" w:sz="4" w:space="0" w:color="auto"/>
              <w:left w:val="nil"/>
              <w:bottom w:val="double" w:sz="4" w:space="0" w:color="auto"/>
              <w:right w:val="nil"/>
            </w:tcBorders>
            <w:tcMar>
              <w:right w:w="284" w:type="dxa"/>
            </w:tcMar>
            <w:vAlign w:val="center"/>
          </w:tcPr>
          <w:p w:rsidR="00DB5436" w:rsidRPr="00C66B91" w:rsidRDefault="00DB5436" w:rsidP="00DB5436">
            <w:pPr>
              <w:jc w:val="right"/>
              <w:rPr>
                <w:b/>
                <w:color w:val="000000"/>
                <w:sz w:val="22"/>
                <w:szCs w:val="22"/>
                <w:lang w:val="en-GB"/>
              </w:rPr>
            </w:pPr>
            <w:r w:rsidRPr="00C66B91">
              <w:rPr>
                <w:b/>
                <w:color w:val="000000"/>
                <w:sz w:val="22"/>
                <w:szCs w:val="22"/>
                <w:lang w:val="en-GB"/>
              </w:rPr>
              <w:t>8,248</w:t>
            </w:r>
          </w:p>
        </w:tc>
      </w:tr>
    </w:tbl>
    <w:p w:rsidR="00E922D1" w:rsidRPr="00C66B91" w:rsidRDefault="00E922D1" w:rsidP="00E922D1">
      <w:pPr>
        <w:autoSpaceDE w:val="0"/>
        <w:autoSpaceDN w:val="0"/>
        <w:adjustRightInd w:val="0"/>
        <w:rPr>
          <w:b/>
          <w:sz w:val="22"/>
          <w:szCs w:val="22"/>
          <w:lang w:val="en-GB"/>
        </w:rPr>
      </w:pPr>
    </w:p>
    <w:p w:rsidR="00636A90" w:rsidRPr="005E30E6" w:rsidRDefault="00636A90" w:rsidP="00636A90">
      <w:pPr>
        <w:autoSpaceDE w:val="0"/>
        <w:autoSpaceDN w:val="0"/>
        <w:adjustRightInd w:val="0"/>
        <w:rPr>
          <w:b/>
          <w:sz w:val="22"/>
          <w:szCs w:val="22"/>
        </w:rPr>
      </w:pPr>
      <w:r w:rsidRPr="005E30E6">
        <w:rPr>
          <w:b/>
          <w:sz w:val="22"/>
          <w:szCs w:val="22"/>
        </w:rPr>
        <w:t>18.   OTHER OPERATING COSTS</w:t>
      </w:r>
    </w:p>
    <w:p w:rsidR="00636A90" w:rsidRPr="005E30E6" w:rsidRDefault="00636A90" w:rsidP="00636A90">
      <w:pPr>
        <w:autoSpaceDE w:val="0"/>
        <w:autoSpaceDN w:val="0"/>
        <w:adjustRightInd w:val="0"/>
        <w:rPr>
          <w:sz w:val="22"/>
          <w:szCs w:val="22"/>
        </w:rPr>
      </w:pPr>
    </w:p>
    <w:p w:rsidR="00636A90" w:rsidRPr="005E30E6" w:rsidRDefault="00636A90" w:rsidP="00636A90">
      <w:pPr>
        <w:autoSpaceDE w:val="0"/>
        <w:autoSpaceDN w:val="0"/>
        <w:adjustRightInd w:val="0"/>
        <w:rPr>
          <w:b/>
          <w:sz w:val="22"/>
          <w:szCs w:val="22"/>
        </w:rPr>
      </w:pPr>
      <w:r w:rsidRPr="005E30E6">
        <w:rPr>
          <w:sz w:val="22"/>
          <w:szCs w:val="22"/>
        </w:rPr>
        <w:t>The other operating costs of the Group include:</w:t>
      </w:r>
    </w:p>
    <w:p w:rsidR="00E922D1" w:rsidRPr="00C66B91" w:rsidRDefault="00E922D1" w:rsidP="00E922D1">
      <w:pPr>
        <w:autoSpaceDE w:val="0"/>
        <w:autoSpaceDN w:val="0"/>
        <w:adjustRightInd w:val="0"/>
        <w:rPr>
          <w:sz w:val="22"/>
          <w:szCs w:val="22"/>
          <w:lang w:val="en-GB"/>
        </w:rPr>
      </w:pPr>
    </w:p>
    <w:tbl>
      <w:tblPr>
        <w:tblW w:w="5016" w:type="pct"/>
        <w:tblLook w:val="0000" w:firstRow="0" w:lastRow="0" w:firstColumn="0" w:lastColumn="0" w:noHBand="0" w:noVBand="0"/>
      </w:tblPr>
      <w:tblGrid>
        <w:gridCol w:w="6198"/>
        <w:gridCol w:w="1525"/>
        <w:gridCol w:w="1395"/>
      </w:tblGrid>
      <w:tr w:rsidR="00D14081" w:rsidRPr="00C66B91" w:rsidTr="00C46C22">
        <w:trPr>
          <w:trHeight w:val="227"/>
        </w:trPr>
        <w:tc>
          <w:tcPr>
            <w:tcW w:w="3399" w:type="pct"/>
          </w:tcPr>
          <w:p w:rsidR="00D14081" w:rsidRPr="00C66B91" w:rsidRDefault="00D14081" w:rsidP="00D14081">
            <w:pPr>
              <w:rPr>
                <w:b/>
                <w:sz w:val="22"/>
                <w:szCs w:val="22"/>
                <w:lang w:val="en-GB"/>
              </w:rPr>
            </w:pPr>
          </w:p>
        </w:tc>
        <w:tc>
          <w:tcPr>
            <w:tcW w:w="836" w:type="pct"/>
            <w:vAlign w:val="center"/>
          </w:tcPr>
          <w:p w:rsidR="00D14081" w:rsidRPr="00C66B91" w:rsidRDefault="008A588E" w:rsidP="00D14081">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D14081" w:rsidRPr="00C66B91">
              <w:rPr>
                <w:b/>
                <w:sz w:val="22"/>
                <w:szCs w:val="22"/>
                <w:lang w:val="en-GB"/>
              </w:rPr>
              <w:t>.2015</w:t>
            </w:r>
          </w:p>
          <w:p w:rsidR="00D14081" w:rsidRPr="00C66B91" w:rsidRDefault="00D14081" w:rsidP="00D14081">
            <w:pPr>
              <w:autoSpaceDE w:val="0"/>
              <w:autoSpaceDN w:val="0"/>
              <w:adjustRightInd w:val="0"/>
              <w:jc w:val="center"/>
              <w:rPr>
                <w:b/>
                <w:sz w:val="22"/>
                <w:szCs w:val="22"/>
                <w:lang w:val="en-GB"/>
              </w:rPr>
            </w:pPr>
            <w:r w:rsidRPr="00C66B91">
              <w:rPr>
                <w:b/>
                <w:sz w:val="22"/>
                <w:szCs w:val="22"/>
                <w:lang w:val="en-GB"/>
              </w:rPr>
              <w:t>BGN’000</w:t>
            </w:r>
          </w:p>
        </w:tc>
        <w:tc>
          <w:tcPr>
            <w:tcW w:w="765" w:type="pct"/>
            <w:vAlign w:val="center"/>
          </w:tcPr>
          <w:p w:rsidR="00D14081" w:rsidRPr="00C66B91" w:rsidRDefault="008A588E" w:rsidP="00D14081">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D14081" w:rsidRPr="00C66B91">
              <w:rPr>
                <w:b/>
                <w:sz w:val="22"/>
                <w:szCs w:val="22"/>
                <w:lang w:val="en-GB"/>
              </w:rPr>
              <w:t>.2014</w:t>
            </w:r>
          </w:p>
          <w:p w:rsidR="00D14081" w:rsidRPr="00C66B91" w:rsidRDefault="00D14081" w:rsidP="00D14081">
            <w:pPr>
              <w:autoSpaceDE w:val="0"/>
              <w:autoSpaceDN w:val="0"/>
              <w:adjustRightInd w:val="0"/>
              <w:jc w:val="center"/>
              <w:rPr>
                <w:b/>
                <w:sz w:val="22"/>
                <w:szCs w:val="22"/>
                <w:lang w:val="en-GB"/>
              </w:rPr>
            </w:pPr>
            <w:r w:rsidRPr="00C66B91">
              <w:rPr>
                <w:b/>
                <w:sz w:val="22"/>
                <w:szCs w:val="22"/>
                <w:lang w:val="en-GB"/>
              </w:rPr>
              <w:t>BGN’000</w:t>
            </w:r>
          </w:p>
        </w:tc>
      </w:tr>
      <w:tr w:rsidR="00E922D1" w:rsidRPr="00C66B91" w:rsidTr="00D14081">
        <w:trPr>
          <w:trHeight w:val="322"/>
        </w:trPr>
        <w:tc>
          <w:tcPr>
            <w:tcW w:w="3399" w:type="pct"/>
            <w:vAlign w:val="center"/>
          </w:tcPr>
          <w:p w:rsidR="00E922D1" w:rsidRPr="00C66B91" w:rsidRDefault="00E922D1" w:rsidP="00C46C22">
            <w:pPr>
              <w:rPr>
                <w:sz w:val="22"/>
                <w:szCs w:val="22"/>
                <w:lang w:val="en-GB"/>
              </w:rPr>
            </w:pPr>
          </w:p>
        </w:tc>
        <w:tc>
          <w:tcPr>
            <w:tcW w:w="836" w:type="pct"/>
            <w:tcMar>
              <w:right w:w="284" w:type="dxa"/>
            </w:tcMar>
            <w:vAlign w:val="center"/>
          </w:tcPr>
          <w:p w:rsidR="00E922D1" w:rsidRPr="00C66B91" w:rsidRDefault="00E922D1" w:rsidP="00C46C22">
            <w:pPr>
              <w:jc w:val="right"/>
              <w:rPr>
                <w:sz w:val="22"/>
                <w:szCs w:val="22"/>
                <w:lang w:val="en-GB"/>
              </w:rPr>
            </w:pPr>
          </w:p>
        </w:tc>
        <w:tc>
          <w:tcPr>
            <w:tcW w:w="765" w:type="pct"/>
            <w:tcMar>
              <w:right w:w="284" w:type="dxa"/>
            </w:tcMar>
            <w:vAlign w:val="center"/>
          </w:tcPr>
          <w:p w:rsidR="00E922D1" w:rsidRPr="00C66B91" w:rsidRDefault="00E922D1" w:rsidP="00C46C22">
            <w:pPr>
              <w:jc w:val="right"/>
              <w:rPr>
                <w:sz w:val="22"/>
                <w:szCs w:val="22"/>
                <w:lang w:val="en-GB"/>
              </w:rPr>
            </w:pPr>
          </w:p>
        </w:tc>
      </w:tr>
      <w:tr w:rsidR="00C746C9" w:rsidRPr="00C66B91" w:rsidTr="00C46C22">
        <w:trPr>
          <w:trHeight w:val="227"/>
        </w:trPr>
        <w:tc>
          <w:tcPr>
            <w:tcW w:w="3399" w:type="pct"/>
            <w:vAlign w:val="bottom"/>
          </w:tcPr>
          <w:p w:rsidR="00C746C9" w:rsidRPr="005E30E6" w:rsidRDefault="00C746C9" w:rsidP="00C746C9">
            <w:pPr>
              <w:rPr>
                <w:color w:val="FF0000"/>
                <w:sz w:val="22"/>
                <w:szCs w:val="22"/>
              </w:rPr>
            </w:pPr>
            <w:r w:rsidRPr="005E30E6">
              <w:rPr>
                <w:color w:val="000000"/>
                <w:sz w:val="22"/>
                <w:szCs w:val="22"/>
              </w:rPr>
              <w:t>Parcel insurance</w:t>
            </w:r>
          </w:p>
        </w:tc>
        <w:tc>
          <w:tcPr>
            <w:tcW w:w="836" w:type="pct"/>
            <w:tcBorders>
              <w:top w:val="nil"/>
              <w:left w:val="nil"/>
              <w:right w:val="nil"/>
            </w:tcBorders>
            <w:tcMar>
              <w:right w:w="284" w:type="dxa"/>
            </w:tcMar>
            <w:vAlign w:val="bottom"/>
          </w:tcPr>
          <w:p w:rsidR="00C746C9" w:rsidRPr="00C66B91" w:rsidRDefault="00C746C9" w:rsidP="00C746C9">
            <w:pPr>
              <w:jc w:val="right"/>
              <w:rPr>
                <w:color w:val="000000"/>
                <w:sz w:val="22"/>
                <w:szCs w:val="22"/>
                <w:lang w:val="en-GB"/>
              </w:rPr>
            </w:pPr>
            <w:r w:rsidRPr="00C66B91">
              <w:rPr>
                <w:color w:val="000000"/>
                <w:sz w:val="22"/>
                <w:szCs w:val="22"/>
                <w:lang w:val="en-GB"/>
              </w:rPr>
              <w:t>83</w:t>
            </w:r>
          </w:p>
        </w:tc>
        <w:tc>
          <w:tcPr>
            <w:tcW w:w="765" w:type="pct"/>
            <w:tcBorders>
              <w:top w:val="nil"/>
              <w:left w:val="nil"/>
              <w:right w:val="nil"/>
            </w:tcBorders>
            <w:tcMar>
              <w:right w:w="284" w:type="dxa"/>
            </w:tcMar>
            <w:vAlign w:val="bottom"/>
          </w:tcPr>
          <w:p w:rsidR="00C746C9" w:rsidRPr="00C66B91" w:rsidRDefault="00C746C9" w:rsidP="00C746C9">
            <w:pPr>
              <w:jc w:val="right"/>
              <w:rPr>
                <w:color w:val="000000"/>
                <w:sz w:val="22"/>
                <w:szCs w:val="22"/>
                <w:lang w:val="en-GB"/>
              </w:rPr>
            </w:pPr>
            <w:r w:rsidRPr="00C66B91">
              <w:rPr>
                <w:color w:val="000000"/>
                <w:sz w:val="22"/>
                <w:szCs w:val="22"/>
                <w:lang w:val="en-GB"/>
              </w:rPr>
              <w:t>166</w:t>
            </w:r>
          </w:p>
        </w:tc>
      </w:tr>
      <w:tr w:rsidR="00C746C9" w:rsidRPr="00C66B91" w:rsidTr="00C46C22">
        <w:trPr>
          <w:trHeight w:val="227"/>
        </w:trPr>
        <w:tc>
          <w:tcPr>
            <w:tcW w:w="3399" w:type="pct"/>
            <w:vAlign w:val="bottom"/>
          </w:tcPr>
          <w:p w:rsidR="00C746C9" w:rsidRPr="005E30E6" w:rsidRDefault="00C746C9" w:rsidP="00C746C9">
            <w:pPr>
              <w:rPr>
                <w:color w:val="000000"/>
                <w:sz w:val="22"/>
                <w:szCs w:val="22"/>
                <w:lang w:eastAsia="bg-BG"/>
              </w:rPr>
            </w:pPr>
            <w:r w:rsidRPr="005E30E6">
              <w:rPr>
                <w:color w:val="000000"/>
                <w:sz w:val="22"/>
                <w:szCs w:val="22"/>
              </w:rPr>
              <w:t xml:space="preserve">Compensations for parcels </w:t>
            </w:r>
          </w:p>
        </w:tc>
        <w:tc>
          <w:tcPr>
            <w:tcW w:w="836" w:type="pct"/>
            <w:tcBorders>
              <w:top w:val="nil"/>
              <w:left w:val="nil"/>
              <w:right w:val="nil"/>
            </w:tcBorders>
            <w:tcMar>
              <w:right w:w="284" w:type="dxa"/>
            </w:tcMar>
            <w:vAlign w:val="bottom"/>
          </w:tcPr>
          <w:p w:rsidR="00C746C9" w:rsidRPr="00C66B91" w:rsidRDefault="00C746C9" w:rsidP="00C746C9">
            <w:pPr>
              <w:jc w:val="right"/>
              <w:rPr>
                <w:color w:val="000000"/>
                <w:sz w:val="22"/>
                <w:szCs w:val="22"/>
                <w:lang w:val="en-GB" w:eastAsia="bg-BG"/>
              </w:rPr>
            </w:pPr>
            <w:r w:rsidRPr="00C66B91">
              <w:rPr>
                <w:color w:val="000000"/>
                <w:sz w:val="22"/>
                <w:szCs w:val="22"/>
                <w:lang w:val="en-GB" w:eastAsia="bg-BG"/>
              </w:rPr>
              <w:t>208</w:t>
            </w:r>
          </w:p>
        </w:tc>
        <w:tc>
          <w:tcPr>
            <w:tcW w:w="765" w:type="pct"/>
            <w:tcBorders>
              <w:top w:val="nil"/>
              <w:left w:val="nil"/>
              <w:right w:val="nil"/>
            </w:tcBorders>
            <w:tcMar>
              <w:right w:w="284" w:type="dxa"/>
            </w:tcMar>
            <w:vAlign w:val="bottom"/>
          </w:tcPr>
          <w:p w:rsidR="00C746C9" w:rsidRPr="00C66B91" w:rsidRDefault="00C746C9" w:rsidP="00C746C9">
            <w:pPr>
              <w:jc w:val="right"/>
              <w:rPr>
                <w:color w:val="000000"/>
                <w:sz w:val="22"/>
                <w:szCs w:val="22"/>
                <w:lang w:val="en-GB" w:eastAsia="bg-BG"/>
              </w:rPr>
            </w:pPr>
            <w:r w:rsidRPr="00C66B91">
              <w:rPr>
                <w:color w:val="000000"/>
                <w:sz w:val="22"/>
                <w:szCs w:val="22"/>
                <w:lang w:val="en-GB" w:eastAsia="bg-BG"/>
              </w:rPr>
              <w:t>70</w:t>
            </w:r>
          </w:p>
        </w:tc>
      </w:tr>
      <w:tr w:rsidR="00C746C9" w:rsidRPr="00C66B91" w:rsidTr="00C46C22">
        <w:trPr>
          <w:trHeight w:val="227"/>
        </w:trPr>
        <w:tc>
          <w:tcPr>
            <w:tcW w:w="3399" w:type="pct"/>
            <w:vAlign w:val="bottom"/>
          </w:tcPr>
          <w:p w:rsidR="00C746C9" w:rsidRPr="005E30E6" w:rsidRDefault="00F43B7C" w:rsidP="00F43B7C">
            <w:pPr>
              <w:rPr>
                <w:color w:val="000000"/>
                <w:sz w:val="22"/>
                <w:szCs w:val="22"/>
              </w:rPr>
            </w:pPr>
            <w:r w:rsidRPr="005E30E6">
              <w:rPr>
                <w:color w:val="000000"/>
                <w:sz w:val="22"/>
                <w:szCs w:val="22"/>
              </w:rPr>
              <w:t xml:space="preserve">Representative </w:t>
            </w:r>
            <w:r>
              <w:rPr>
                <w:color w:val="000000"/>
                <w:sz w:val="22"/>
                <w:szCs w:val="22"/>
              </w:rPr>
              <w:t>expenses</w:t>
            </w:r>
          </w:p>
        </w:tc>
        <w:tc>
          <w:tcPr>
            <w:tcW w:w="836" w:type="pct"/>
            <w:tcBorders>
              <w:top w:val="nil"/>
              <w:left w:val="nil"/>
              <w:right w:val="nil"/>
            </w:tcBorders>
            <w:tcMar>
              <w:right w:w="284" w:type="dxa"/>
            </w:tcMar>
            <w:vAlign w:val="bottom"/>
          </w:tcPr>
          <w:p w:rsidR="00C746C9" w:rsidRPr="00C66B91" w:rsidRDefault="00C746C9" w:rsidP="00C746C9">
            <w:pPr>
              <w:jc w:val="right"/>
              <w:rPr>
                <w:color w:val="000000"/>
                <w:sz w:val="22"/>
                <w:szCs w:val="22"/>
                <w:lang w:val="en-GB"/>
              </w:rPr>
            </w:pPr>
            <w:r w:rsidRPr="00C66B91">
              <w:rPr>
                <w:color w:val="000000"/>
                <w:sz w:val="22"/>
                <w:szCs w:val="22"/>
                <w:lang w:val="en-GB"/>
              </w:rPr>
              <w:t>64</w:t>
            </w:r>
          </w:p>
        </w:tc>
        <w:tc>
          <w:tcPr>
            <w:tcW w:w="765" w:type="pct"/>
            <w:tcBorders>
              <w:top w:val="nil"/>
              <w:left w:val="nil"/>
              <w:right w:val="nil"/>
            </w:tcBorders>
            <w:tcMar>
              <w:right w:w="284" w:type="dxa"/>
            </w:tcMar>
            <w:vAlign w:val="bottom"/>
          </w:tcPr>
          <w:p w:rsidR="00C746C9" w:rsidRPr="00C66B91" w:rsidRDefault="00C746C9" w:rsidP="00C746C9">
            <w:pPr>
              <w:jc w:val="right"/>
              <w:rPr>
                <w:color w:val="000000"/>
                <w:sz w:val="22"/>
                <w:szCs w:val="22"/>
                <w:lang w:val="en-GB"/>
              </w:rPr>
            </w:pPr>
            <w:r w:rsidRPr="00C66B91">
              <w:rPr>
                <w:color w:val="000000"/>
                <w:sz w:val="22"/>
                <w:szCs w:val="22"/>
                <w:lang w:val="en-GB"/>
              </w:rPr>
              <w:t>77</w:t>
            </w:r>
          </w:p>
        </w:tc>
      </w:tr>
      <w:tr w:rsidR="00C746C9" w:rsidRPr="00C66B91" w:rsidTr="00C46C22">
        <w:trPr>
          <w:trHeight w:val="227"/>
        </w:trPr>
        <w:tc>
          <w:tcPr>
            <w:tcW w:w="3399" w:type="pct"/>
            <w:vAlign w:val="bottom"/>
          </w:tcPr>
          <w:p w:rsidR="00C746C9" w:rsidRPr="005E30E6" w:rsidRDefault="00C746C9" w:rsidP="00C746C9">
            <w:pPr>
              <w:rPr>
                <w:color w:val="000000"/>
                <w:sz w:val="22"/>
                <w:szCs w:val="22"/>
              </w:rPr>
            </w:pPr>
            <w:r w:rsidRPr="005E30E6">
              <w:rPr>
                <w:color w:val="000000"/>
                <w:sz w:val="22"/>
                <w:szCs w:val="22"/>
              </w:rPr>
              <w:t xml:space="preserve">Other costs </w:t>
            </w:r>
          </w:p>
        </w:tc>
        <w:tc>
          <w:tcPr>
            <w:tcW w:w="836" w:type="pct"/>
            <w:tcBorders>
              <w:top w:val="nil"/>
              <w:left w:val="nil"/>
              <w:right w:val="nil"/>
            </w:tcBorders>
            <w:tcMar>
              <w:right w:w="284" w:type="dxa"/>
            </w:tcMar>
            <w:vAlign w:val="bottom"/>
          </w:tcPr>
          <w:p w:rsidR="00C746C9" w:rsidRPr="00C66B91" w:rsidRDefault="00C746C9" w:rsidP="00C746C9">
            <w:pPr>
              <w:jc w:val="right"/>
              <w:rPr>
                <w:color w:val="000000"/>
                <w:sz w:val="22"/>
                <w:szCs w:val="22"/>
                <w:lang w:val="en-GB"/>
              </w:rPr>
            </w:pPr>
            <w:r w:rsidRPr="00C66B91">
              <w:rPr>
                <w:color w:val="000000"/>
                <w:sz w:val="22"/>
                <w:szCs w:val="22"/>
                <w:lang w:val="en-GB"/>
              </w:rPr>
              <w:t>233</w:t>
            </w:r>
          </w:p>
        </w:tc>
        <w:tc>
          <w:tcPr>
            <w:tcW w:w="765" w:type="pct"/>
            <w:tcBorders>
              <w:top w:val="nil"/>
              <w:left w:val="nil"/>
              <w:right w:val="nil"/>
            </w:tcBorders>
            <w:tcMar>
              <w:right w:w="284" w:type="dxa"/>
            </w:tcMar>
            <w:vAlign w:val="bottom"/>
          </w:tcPr>
          <w:p w:rsidR="00C746C9" w:rsidRPr="00C66B91" w:rsidRDefault="00C746C9" w:rsidP="00C746C9">
            <w:pPr>
              <w:jc w:val="right"/>
              <w:rPr>
                <w:color w:val="000000"/>
                <w:sz w:val="22"/>
                <w:szCs w:val="22"/>
                <w:lang w:val="en-GB"/>
              </w:rPr>
            </w:pPr>
            <w:r w:rsidRPr="00C66B91">
              <w:rPr>
                <w:color w:val="000000"/>
                <w:sz w:val="22"/>
                <w:szCs w:val="22"/>
                <w:lang w:val="en-GB"/>
              </w:rPr>
              <w:t>123</w:t>
            </w:r>
          </w:p>
        </w:tc>
      </w:tr>
      <w:tr w:rsidR="00C746C9" w:rsidRPr="00C66B91" w:rsidTr="00C46C22">
        <w:trPr>
          <w:trHeight w:val="227"/>
        </w:trPr>
        <w:tc>
          <w:tcPr>
            <w:tcW w:w="3399" w:type="pct"/>
            <w:vAlign w:val="center"/>
          </w:tcPr>
          <w:p w:rsidR="00C746C9" w:rsidRPr="005E30E6" w:rsidRDefault="00C746C9" w:rsidP="00C746C9">
            <w:pPr>
              <w:jc w:val="right"/>
              <w:rPr>
                <w:b/>
                <w:sz w:val="22"/>
                <w:szCs w:val="22"/>
              </w:rPr>
            </w:pPr>
            <w:r w:rsidRPr="005E30E6">
              <w:rPr>
                <w:b/>
                <w:sz w:val="22"/>
                <w:szCs w:val="22"/>
              </w:rPr>
              <w:t>Total</w:t>
            </w:r>
          </w:p>
        </w:tc>
        <w:tc>
          <w:tcPr>
            <w:tcW w:w="836" w:type="pct"/>
            <w:tcBorders>
              <w:top w:val="single" w:sz="4" w:space="0" w:color="auto"/>
              <w:left w:val="nil"/>
              <w:bottom w:val="double" w:sz="4" w:space="0" w:color="auto"/>
              <w:right w:val="nil"/>
            </w:tcBorders>
            <w:tcMar>
              <w:right w:w="284" w:type="dxa"/>
            </w:tcMar>
            <w:vAlign w:val="center"/>
          </w:tcPr>
          <w:p w:rsidR="00C746C9" w:rsidRPr="00C66B91" w:rsidRDefault="00C746C9" w:rsidP="00C746C9">
            <w:pPr>
              <w:jc w:val="right"/>
              <w:rPr>
                <w:b/>
                <w:color w:val="000000"/>
                <w:sz w:val="22"/>
                <w:szCs w:val="22"/>
                <w:lang w:val="en-GB"/>
              </w:rPr>
            </w:pPr>
            <w:r w:rsidRPr="00C66B91">
              <w:rPr>
                <w:b/>
                <w:color w:val="000000"/>
                <w:sz w:val="22"/>
                <w:szCs w:val="22"/>
                <w:lang w:val="en-GB"/>
              </w:rPr>
              <w:t>588</w:t>
            </w:r>
          </w:p>
        </w:tc>
        <w:tc>
          <w:tcPr>
            <w:tcW w:w="765" w:type="pct"/>
            <w:tcBorders>
              <w:top w:val="single" w:sz="4" w:space="0" w:color="auto"/>
              <w:left w:val="nil"/>
              <w:bottom w:val="double" w:sz="4" w:space="0" w:color="auto"/>
              <w:right w:val="nil"/>
            </w:tcBorders>
            <w:tcMar>
              <w:right w:w="284" w:type="dxa"/>
            </w:tcMar>
            <w:vAlign w:val="center"/>
          </w:tcPr>
          <w:p w:rsidR="00C746C9" w:rsidRPr="00C66B91" w:rsidRDefault="00C746C9" w:rsidP="00C746C9">
            <w:pPr>
              <w:jc w:val="right"/>
              <w:rPr>
                <w:b/>
                <w:color w:val="000000"/>
                <w:sz w:val="22"/>
                <w:szCs w:val="22"/>
                <w:lang w:val="en-GB"/>
              </w:rPr>
            </w:pPr>
            <w:r w:rsidRPr="00C66B91">
              <w:rPr>
                <w:b/>
                <w:color w:val="000000"/>
                <w:sz w:val="22"/>
                <w:szCs w:val="22"/>
                <w:lang w:val="en-GB"/>
              </w:rPr>
              <w:t>436</w:t>
            </w:r>
          </w:p>
        </w:tc>
      </w:tr>
    </w:tbl>
    <w:p w:rsidR="00E922D1" w:rsidRPr="00C66B91" w:rsidRDefault="00E922D1" w:rsidP="00E922D1">
      <w:pPr>
        <w:autoSpaceDE w:val="0"/>
        <w:autoSpaceDN w:val="0"/>
        <w:adjustRightInd w:val="0"/>
        <w:rPr>
          <w:b/>
          <w:sz w:val="22"/>
          <w:szCs w:val="22"/>
          <w:lang w:val="en-GB"/>
        </w:rPr>
      </w:pPr>
    </w:p>
    <w:p w:rsidR="00F43B7C" w:rsidRPr="005E30E6" w:rsidRDefault="00F43B7C" w:rsidP="00F43B7C">
      <w:pPr>
        <w:autoSpaceDE w:val="0"/>
        <w:autoSpaceDN w:val="0"/>
        <w:adjustRightInd w:val="0"/>
        <w:rPr>
          <w:b/>
          <w:sz w:val="22"/>
          <w:szCs w:val="22"/>
        </w:rPr>
      </w:pPr>
      <w:r w:rsidRPr="005E30E6">
        <w:rPr>
          <w:b/>
          <w:sz w:val="22"/>
          <w:szCs w:val="22"/>
        </w:rPr>
        <w:t xml:space="preserve">19.   FINANCIAL </w:t>
      </w:r>
      <w:r>
        <w:rPr>
          <w:b/>
          <w:sz w:val="22"/>
          <w:szCs w:val="22"/>
        </w:rPr>
        <w:t>INCOME</w:t>
      </w:r>
      <w:r w:rsidRPr="005E30E6">
        <w:rPr>
          <w:b/>
          <w:sz w:val="22"/>
          <w:szCs w:val="22"/>
        </w:rPr>
        <w:t xml:space="preserve"> </w:t>
      </w:r>
    </w:p>
    <w:p w:rsidR="00F43B7C" w:rsidRPr="005E30E6" w:rsidRDefault="00F43B7C" w:rsidP="00F43B7C">
      <w:pPr>
        <w:autoSpaceDE w:val="0"/>
        <w:autoSpaceDN w:val="0"/>
        <w:adjustRightInd w:val="0"/>
        <w:rPr>
          <w:sz w:val="22"/>
          <w:szCs w:val="22"/>
        </w:rPr>
      </w:pPr>
    </w:p>
    <w:p w:rsidR="00F43B7C" w:rsidRPr="005E30E6" w:rsidRDefault="00F43B7C" w:rsidP="00F43B7C">
      <w:pPr>
        <w:autoSpaceDE w:val="0"/>
        <w:autoSpaceDN w:val="0"/>
        <w:adjustRightInd w:val="0"/>
        <w:rPr>
          <w:b/>
          <w:sz w:val="22"/>
          <w:szCs w:val="22"/>
        </w:rPr>
      </w:pPr>
      <w:r w:rsidRPr="005E30E6">
        <w:rPr>
          <w:sz w:val="22"/>
          <w:szCs w:val="22"/>
        </w:rPr>
        <w:t>The financial revenues of the Group include:</w:t>
      </w:r>
    </w:p>
    <w:p w:rsidR="00E922D1" w:rsidRPr="00C66B91" w:rsidRDefault="00E922D1" w:rsidP="00E922D1">
      <w:pPr>
        <w:autoSpaceDE w:val="0"/>
        <w:autoSpaceDN w:val="0"/>
        <w:adjustRightInd w:val="0"/>
        <w:rPr>
          <w:sz w:val="22"/>
          <w:szCs w:val="22"/>
          <w:lang w:val="en-GB"/>
        </w:rPr>
      </w:pPr>
    </w:p>
    <w:tbl>
      <w:tblPr>
        <w:tblW w:w="5009" w:type="pct"/>
        <w:tblLook w:val="0000" w:firstRow="0" w:lastRow="0" w:firstColumn="0" w:lastColumn="0" w:noHBand="0" w:noVBand="0"/>
      </w:tblPr>
      <w:tblGrid>
        <w:gridCol w:w="6168"/>
        <w:gridCol w:w="1537"/>
        <w:gridCol w:w="1400"/>
      </w:tblGrid>
      <w:tr w:rsidR="00D14081" w:rsidRPr="00C66B91" w:rsidTr="00911666">
        <w:trPr>
          <w:trHeight w:val="212"/>
        </w:trPr>
        <w:tc>
          <w:tcPr>
            <w:tcW w:w="3387" w:type="pct"/>
            <w:vAlign w:val="center"/>
          </w:tcPr>
          <w:p w:rsidR="00D14081" w:rsidRPr="00C66B91" w:rsidRDefault="00D14081" w:rsidP="00D14081">
            <w:pPr>
              <w:rPr>
                <w:sz w:val="22"/>
                <w:szCs w:val="22"/>
                <w:lang w:val="en-GB"/>
              </w:rPr>
            </w:pPr>
          </w:p>
        </w:tc>
        <w:tc>
          <w:tcPr>
            <w:tcW w:w="844" w:type="pct"/>
            <w:vAlign w:val="center"/>
          </w:tcPr>
          <w:p w:rsidR="00D14081" w:rsidRPr="00C66B91" w:rsidRDefault="008A588E" w:rsidP="00D14081">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D14081" w:rsidRPr="00C66B91">
              <w:rPr>
                <w:b/>
                <w:sz w:val="22"/>
                <w:szCs w:val="22"/>
                <w:lang w:val="en-GB"/>
              </w:rPr>
              <w:t>.2015</w:t>
            </w:r>
          </w:p>
          <w:p w:rsidR="00D14081" w:rsidRPr="00C66B91" w:rsidRDefault="00D14081" w:rsidP="00D14081">
            <w:pPr>
              <w:autoSpaceDE w:val="0"/>
              <w:autoSpaceDN w:val="0"/>
              <w:adjustRightInd w:val="0"/>
              <w:jc w:val="center"/>
              <w:rPr>
                <w:b/>
                <w:sz w:val="22"/>
                <w:szCs w:val="22"/>
                <w:lang w:val="en-GB"/>
              </w:rPr>
            </w:pPr>
            <w:r w:rsidRPr="00C66B91">
              <w:rPr>
                <w:b/>
                <w:sz w:val="22"/>
                <w:szCs w:val="22"/>
                <w:lang w:val="en-GB"/>
              </w:rPr>
              <w:t>BGN’000</w:t>
            </w:r>
          </w:p>
        </w:tc>
        <w:tc>
          <w:tcPr>
            <w:tcW w:w="769" w:type="pct"/>
            <w:vAlign w:val="center"/>
          </w:tcPr>
          <w:p w:rsidR="00D14081" w:rsidRPr="00C66B91" w:rsidRDefault="008A588E" w:rsidP="00D14081">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D14081" w:rsidRPr="00C66B91">
              <w:rPr>
                <w:b/>
                <w:sz w:val="22"/>
                <w:szCs w:val="22"/>
                <w:lang w:val="en-GB"/>
              </w:rPr>
              <w:t>.2014</w:t>
            </w:r>
          </w:p>
          <w:p w:rsidR="00D14081" w:rsidRPr="00C66B91" w:rsidRDefault="00D14081" w:rsidP="00D14081">
            <w:pPr>
              <w:autoSpaceDE w:val="0"/>
              <w:autoSpaceDN w:val="0"/>
              <w:adjustRightInd w:val="0"/>
              <w:jc w:val="center"/>
              <w:rPr>
                <w:b/>
                <w:sz w:val="22"/>
                <w:szCs w:val="22"/>
                <w:lang w:val="en-GB"/>
              </w:rPr>
            </w:pPr>
            <w:r w:rsidRPr="00C66B91">
              <w:rPr>
                <w:b/>
                <w:sz w:val="22"/>
                <w:szCs w:val="22"/>
                <w:lang w:val="en-GB"/>
              </w:rPr>
              <w:t>BGN’000</w:t>
            </w:r>
          </w:p>
        </w:tc>
      </w:tr>
      <w:tr w:rsidR="00E922D1" w:rsidRPr="00C66B91" w:rsidTr="00C46C22">
        <w:trPr>
          <w:trHeight w:val="212"/>
        </w:trPr>
        <w:tc>
          <w:tcPr>
            <w:tcW w:w="3387" w:type="pct"/>
            <w:vAlign w:val="center"/>
          </w:tcPr>
          <w:p w:rsidR="00E922D1" w:rsidRPr="00C66B91" w:rsidRDefault="00E922D1" w:rsidP="00C46C22">
            <w:pPr>
              <w:rPr>
                <w:color w:val="000000"/>
                <w:sz w:val="22"/>
                <w:szCs w:val="22"/>
                <w:lang w:val="en-GB"/>
              </w:rPr>
            </w:pPr>
          </w:p>
        </w:tc>
        <w:tc>
          <w:tcPr>
            <w:tcW w:w="844" w:type="pct"/>
            <w:tcBorders>
              <w:top w:val="nil"/>
              <w:left w:val="nil"/>
              <w:right w:val="nil"/>
            </w:tcBorders>
            <w:tcMar>
              <w:right w:w="284" w:type="dxa"/>
            </w:tcMar>
            <w:vAlign w:val="center"/>
          </w:tcPr>
          <w:p w:rsidR="00E922D1" w:rsidRPr="00C66B91" w:rsidRDefault="00E922D1" w:rsidP="00C46C22">
            <w:pPr>
              <w:jc w:val="right"/>
              <w:rPr>
                <w:color w:val="000000"/>
                <w:sz w:val="22"/>
                <w:szCs w:val="22"/>
                <w:lang w:val="en-GB"/>
              </w:rPr>
            </w:pPr>
          </w:p>
        </w:tc>
        <w:tc>
          <w:tcPr>
            <w:tcW w:w="769" w:type="pct"/>
            <w:tcBorders>
              <w:top w:val="nil"/>
              <w:left w:val="nil"/>
              <w:right w:val="nil"/>
            </w:tcBorders>
            <w:tcMar>
              <w:right w:w="284" w:type="dxa"/>
            </w:tcMar>
            <w:vAlign w:val="center"/>
          </w:tcPr>
          <w:p w:rsidR="00E922D1" w:rsidRPr="00C66B91" w:rsidDel="00A70347" w:rsidRDefault="00E922D1" w:rsidP="00C46C22">
            <w:pPr>
              <w:jc w:val="right"/>
              <w:rPr>
                <w:color w:val="000000"/>
                <w:sz w:val="22"/>
                <w:szCs w:val="22"/>
                <w:lang w:val="en-GB"/>
              </w:rPr>
            </w:pPr>
          </w:p>
        </w:tc>
      </w:tr>
      <w:tr w:rsidR="00F43B7C" w:rsidRPr="00C66B91" w:rsidTr="00C46C22">
        <w:trPr>
          <w:trHeight w:val="212"/>
        </w:trPr>
        <w:tc>
          <w:tcPr>
            <w:tcW w:w="3387" w:type="pct"/>
            <w:vAlign w:val="center"/>
          </w:tcPr>
          <w:p w:rsidR="00F43B7C" w:rsidRPr="005E30E6" w:rsidRDefault="00F43B7C" w:rsidP="00F43B7C">
            <w:pPr>
              <w:rPr>
                <w:color w:val="000000"/>
                <w:sz w:val="22"/>
                <w:szCs w:val="22"/>
              </w:rPr>
            </w:pPr>
            <w:r w:rsidRPr="005E30E6">
              <w:rPr>
                <w:color w:val="000000"/>
                <w:sz w:val="22"/>
                <w:szCs w:val="22"/>
              </w:rPr>
              <w:t xml:space="preserve">Interests </w:t>
            </w:r>
            <w:r>
              <w:rPr>
                <w:color w:val="000000"/>
                <w:sz w:val="22"/>
                <w:szCs w:val="22"/>
              </w:rPr>
              <w:t>income</w:t>
            </w:r>
          </w:p>
        </w:tc>
        <w:tc>
          <w:tcPr>
            <w:tcW w:w="844" w:type="pct"/>
            <w:tcBorders>
              <w:top w:val="nil"/>
              <w:left w:val="nil"/>
              <w:right w:val="nil"/>
            </w:tcBorders>
            <w:tcMar>
              <w:right w:w="284" w:type="dxa"/>
            </w:tcMar>
            <w:vAlign w:val="center"/>
          </w:tcPr>
          <w:p w:rsidR="00F43B7C" w:rsidRPr="00C66B91" w:rsidRDefault="00F43B7C" w:rsidP="00F43B7C">
            <w:pPr>
              <w:jc w:val="right"/>
              <w:rPr>
                <w:color w:val="000000"/>
                <w:sz w:val="22"/>
                <w:szCs w:val="22"/>
                <w:lang w:val="en-GB"/>
              </w:rPr>
            </w:pPr>
            <w:r w:rsidRPr="00C66B91">
              <w:rPr>
                <w:color w:val="000000"/>
                <w:sz w:val="22"/>
                <w:szCs w:val="22"/>
                <w:lang w:val="en-GB"/>
              </w:rPr>
              <w:t>165</w:t>
            </w:r>
          </w:p>
        </w:tc>
        <w:tc>
          <w:tcPr>
            <w:tcW w:w="769" w:type="pct"/>
            <w:tcBorders>
              <w:top w:val="nil"/>
              <w:left w:val="nil"/>
              <w:right w:val="nil"/>
            </w:tcBorders>
            <w:tcMar>
              <w:right w:w="284" w:type="dxa"/>
            </w:tcMar>
            <w:vAlign w:val="center"/>
          </w:tcPr>
          <w:p w:rsidR="00F43B7C" w:rsidRPr="00C66B91" w:rsidRDefault="00F43B7C" w:rsidP="00F43B7C">
            <w:pPr>
              <w:jc w:val="right"/>
              <w:rPr>
                <w:color w:val="000000"/>
                <w:sz w:val="22"/>
                <w:szCs w:val="22"/>
                <w:lang w:val="en-GB"/>
              </w:rPr>
            </w:pPr>
            <w:r w:rsidRPr="00C66B91">
              <w:rPr>
                <w:color w:val="000000"/>
                <w:sz w:val="22"/>
                <w:szCs w:val="22"/>
                <w:lang w:val="en-GB"/>
              </w:rPr>
              <w:t>156</w:t>
            </w:r>
          </w:p>
        </w:tc>
      </w:tr>
      <w:tr w:rsidR="00F43B7C" w:rsidRPr="00C66B91" w:rsidTr="00C46C22">
        <w:trPr>
          <w:trHeight w:val="212"/>
        </w:trPr>
        <w:tc>
          <w:tcPr>
            <w:tcW w:w="3387" w:type="pct"/>
            <w:vAlign w:val="center"/>
          </w:tcPr>
          <w:p w:rsidR="00F43B7C" w:rsidRPr="005E30E6" w:rsidRDefault="00F43B7C" w:rsidP="00F43B7C">
            <w:pPr>
              <w:rPr>
                <w:color w:val="000000"/>
                <w:sz w:val="22"/>
                <w:szCs w:val="22"/>
              </w:rPr>
            </w:pPr>
            <w:r>
              <w:rPr>
                <w:color w:val="000000"/>
                <w:sz w:val="22"/>
                <w:szCs w:val="22"/>
              </w:rPr>
              <w:t>FX exchange gain</w:t>
            </w:r>
          </w:p>
        </w:tc>
        <w:tc>
          <w:tcPr>
            <w:tcW w:w="844" w:type="pct"/>
            <w:tcBorders>
              <w:top w:val="nil"/>
              <w:left w:val="nil"/>
              <w:right w:val="nil"/>
            </w:tcBorders>
            <w:tcMar>
              <w:right w:w="284" w:type="dxa"/>
            </w:tcMar>
            <w:vAlign w:val="center"/>
          </w:tcPr>
          <w:p w:rsidR="00F43B7C" w:rsidRPr="00C66B91" w:rsidRDefault="00F43B7C" w:rsidP="00F43B7C">
            <w:pPr>
              <w:jc w:val="right"/>
              <w:rPr>
                <w:color w:val="000000"/>
                <w:sz w:val="22"/>
                <w:szCs w:val="22"/>
                <w:lang w:val="en-GB"/>
              </w:rPr>
            </w:pPr>
            <w:r w:rsidRPr="00C66B91">
              <w:rPr>
                <w:color w:val="000000"/>
                <w:sz w:val="22"/>
                <w:szCs w:val="22"/>
                <w:lang w:val="en-GB"/>
              </w:rPr>
              <w:t>136</w:t>
            </w:r>
          </w:p>
        </w:tc>
        <w:tc>
          <w:tcPr>
            <w:tcW w:w="769" w:type="pct"/>
            <w:tcBorders>
              <w:top w:val="nil"/>
              <w:left w:val="nil"/>
              <w:right w:val="nil"/>
            </w:tcBorders>
            <w:tcMar>
              <w:right w:w="284" w:type="dxa"/>
            </w:tcMar>
            <w:vAlign w:val="center"/>
          </w:tcPr>
          <w:p w:rsidR="00F43B7C" w:rsidRPr="00C66B91" w:rsidRDefault="00F43B7C" w:rsidP="00F43B7C">
            <w:pPr>
              <w:jc w:val="right"/>
              <w:rPr>
                <w:color w:val="000000"/>
                <w:sz w:val="22"/>
                <w:szCs w:val="22"/>
                <w:lang w:val="en-GB"/>
              </w:rPr>
            </w:pPr>
            <w:r w:rsidRPr="00C66B91">
              <w:rPr>
                <w:color w:val="000000"/>
                <w:sz w:val="22"/>
                <w:szCs w:val="22"/>
                <w:lang w:val="en-GB"/>
              </w:rPr>
              <w:t>-</w:t>
            </w:r>
          </w:p>
        </w:tc>
      </w:tr>
      <w:tr w:rsidR="00F43B7C" w:rsidRPr="00C66B91" w:rsidTr="00C46C22">
        <w:trPr>
          <w:trHeight w:val="212"/>
        </w:trPr>
        <w:tc>
          <w:tcPr>
            <w:tcW w:w="3387" w:type="pct"/>
            <w:vAlign w:val="center"/>
          </w:tcPr>
          <w:p w:rsidR="00F43B7C" w:rsidRPr="005E30E6" w:rsidRDefault="00F43B7C" w:rsidP="00F43B7C">
            <w:pPr>
              <w:jc w:val="right"/>
              <w:rPr>
                <w:b/>
                <w:sz w:val="22"/>
                <w:szCs w:val="22"/>
              </w:rPr>
            </w:pPr>
            <w:r w:rsidRPr="005E30E6">
              <w:rPr>
                <w:b/>
                <w:sz w:val="22"/>
                <w:szCs w:val="22"/>
              </w:rPr>
              <w:t>Total</w:t>
            </w:r>
          </w:p>
        </w:tc>
        <w:tc>
          <w:tcPr>
            <w:tcW w:w="844" w:type="pct"/>
            <w:tcBorders>
              <w:top w:val="single" w:sz="4" w:space="0" w:color="auto"/>
              <w:left w:val="nil"/>
              <w:bottom w:val="double" w:sz="4" w:space="0" w:color="auto"/>
              <w:right w:val="nil"/>
            </w:tcBorders>
            <w:tcMar>
              <w:right w:w="284" w:type="dxa"/>
            </w:tcMar>
            <w:vAlign w:val="center"/>
          </w:tcPr>
          <w:p w:rsidR="00F43B7C" w:rsidRPr="00C66B91" w:rsidRDefault="00F43B7C" w:rsidP="00F43B7C">
            <w:pPr>
              <w:jc w:val="right"/>
              <w:rPr>
                <w:b/>
                <w:color w:val="000000"/>
                <w:sz w:val="22"/>
                <w:szCs w:val="22"/>
                <w:lang w:val="en-GB"/>
              </w:rPr>
            </w:pPr>
            <w:r w:rsidRPr="00C66B91">
              <w:rPr>
                <w:b/>
                <w:color w:val="000000"/>
                <w:sz w:val="22"/>
                <w:szCs w:val="22"/>
                <w:lang w:val="en-GB"/>
              </w:rPr>
              <w:t>301</w:t>
            </w:r>
          </w:p>
        </w:tc>
        <w:tc>
          <w:tcPr>
            <w:tcW w:w="769" w:type="pct"/>
            <w:tcBorders>
              <w:top w:val="single" w:sz="4" w:space="0" w:color="auto"/>
              <w:left w:val="nil"/>
              <w:bottom w:val="double" w:sz="4" w:space="0" w:color="auto"/>
              <w:right w:val="nil"/>
            </w:tcBorders>
            <w:tcMar>
              <w:right w:w="284" w:type="dxa"/>
            </w:tcMar>
            <w:vAlign w:val="center"/>
          </w:tcPr>
          <w:p w:rsidR="00F43B7C" w:rsidRPr="00C66B91" w:rsidRDefault="00F43B7C" w:rsidP="00F43B7C">
            <w:pPr>
              <w:jc w:val="right"/>
              <w:rPr>
                <w:color w:val="000000"/>
                <w:sz w:val="22"/>
                <w:szCs w:val="22"/>
                <w:lang w:val="en-GB"/>
              </w:rPr>
            </w:pPr>
            <w:r w:rsidRPr="00C66B91">
              <w:rPr>
                <w:color w:val="000000"/>
                <w:sz w:val="22"/>
                <w:szCs w:val="22"/>
                <w:lang w:val="en-GB"/>
              </w:rPr>
              <w:t>156</w:t>
            </w:r>
          </w:p>
        </w:tc>
      </w:tr>
    </w:tbl>
    <w:p w:rsidR="00E922D1" w:rsidRPr="00C66B91" w:rsidRDefault="00E922D1" w:rsidP="00E922D1">
      <w:pPr>
        <w:tabs>
          <w:tab w:val="num" w:pos="540"/>
        </w:tabs>
        <w:autoSpaceDE w:val="0"/>
        <w:autoSpaceDN w:val="0"/>
        <w:adjustRightInd w:val="0"/>
        <w:rPr>
          <w:sz w:val="22"/>
          <w:szCs w:val="22"/>
          <w:lang w:val="en-GB"/>
        </w:rPr>
      </w:pPr>
    </w:p>
    <w:p w:rsidR="00E922D1" w:rsidRPr="00C66B91" w:rsidRDefault="00E922D1" w:rsidP="00E922D1">
      <w:pPr>
        <w:autoSpaceDE w:val="0"/>
        <w:autoSpaceDN w:val="0"/>
        <w:adjustRightInd w:val="0"/>
        <w:rPr>
          <w:b/>
          <w:sz w:val="22"/>
          <w:szCs w:val="22"/>
          <w:lang w:val="en-GB"/>
        </w:rPr>
      </w:pPr>
      <w:r w:rsidRPr="00C66B91">
        <w:rPr>
          <w:b/>
          <w:sz w:val="22"/>
          <w:szCs w:val="22"/>
          <w:lang w:val="en-GB"/>
        </w:rPr>
        <w:t xml:space="preserve">20.   </w:t>
      </w:r>
      <w:r w:rsidR="00F43B7C">
        <w:rPr>
          <w:b/>
          <w:sz w:val="22"/>
          <w:szCs w:val="22"/>
          <w:lang w:val="en-GB"/>
        </w:rPr>
        <w:t>FINANCIAL EXPENSES</w:t>
      </w:r>
    </w:p>
    <w:p w:rsidR="00E922D1" w:rsidRPr="00C66B91" w:rsidRDefault="00E922D1" w:rsidP="00E922D1">
      <w:pPr>
        <w:autoSpaceDE w:val="0"/>
        <w:autoSpaceDN w:val="0"/>
        <w:adjustRightInd w:val="0"/>
        <w:rPr>
          <w:b/>
          <w:sz w:val="22"/>
          <w:szCs w:val="22"/>
          <w:lang w:val="en-GB"/>
        </w:rPr>
      </w:pPr>
    </w:p>
    <w:p w:rsidR="00E922D1" w:rsidRPr="00C66B91" w:rsidRDefault="00F43B7C" w:rsidP="00E922D1">
      <w:pPr>
        <w:autoSpaceDE w:val="0"/>
        <w:autoSpaceDN w:val="0"/>
        <w:adjustRightInd w:val="0"/>
        <w:rPr>
          <w:b/>
          <w:sz w:val="22"/>
          <w:szCs w:val="22"/>
          <w:lang w:val="en-GB"/>
        </w:rPr>
      </w:pPr>
      <w:r>
        <w:rPr>
          <w:sz w:val="22"/>
          <w:szCs w:val="22"/>
          <w:lang w:val="en-GB"/>
        </w:rPr>
        <w:t>Financial expenses include</w:t>
      </w:r>
      <w:r w:rsidR="00E922D1" w:rsidRPr="00C66B91">
        <w:rPr>
          <w:sz w:val="22"/>
          <w:szCs w:val="22"/>
          <w:lang w:val="en-GB"/>
        </w:rPr>
        <w:t>:</w:t>
      </w:r>
    </w:p>
    <w:p w:rsidR="00E922D1" w:rsidRPr="00C66B91" w:rsidRDefault="00E922D1" w:rsidP="00E922D1">
      <w:pPr>
        <w:autoSpaceDE w:val="0"/>
        <w:autoSpaceDN w:val="0"/>
        <w:adjustRightInd w:val="0"/>
        <w:rPr>
          <w:b/>
          <w:sz w:val="22"/>
          <w:szCs w:val="22"/>
          <w:lang w:val="en-GB"/>
        </w:rPr>
      </w:pPr>
    </w:p>
    <w:tbl>
      <w:tblPr>
        <w:tblW w:w="5009" w:type="pct"/>
        <w:tblLook w:val="0000" w:firstRow="0" w:lastRow="0" w:firstColumn="0" w:lastColumn="0" w:noHBand="0" w:noVBand="0"/>
      </w:tblPr>
      <w:tblGrid>
        <w:gridCol w:w="6199"/>
        <w:gridCol w:w="1577"/>
        <w:gridCol w:w="1329"/>
      </w:tblGrid>
      <w:tr w:rsidR="0062697D" w:rsidRPr="00C66B91" w:rsidTr="00911666">
        <w:trPr>
          <w:trHeight w:val="227"/>
        </w:trPr>
        <w:tc>
          <w:tcPr>
            <w:tcW w:w="3404" w:type="pct"/>
            <w:vAlign w:val="center"/>
          </w:tcPr>
          <w:p w:rsidR="0062697D" w:rsidRPr="00C66B91" w:rsidRDefault="0062697D" w:rsidP="0062697D">
            <w:pPr>
              <w:rPr>
                <w:sz w:val="22"/>
                <w:szCs w:val="22"/>
                <w:lang w:val="en-GB"/>
              </w:rPr>
            </w:pPr>
          </w:p>
        </w:tc>
        <w:tc>
          <w:tcPr>
            <w:tcW w:w="866" w:type="pct"/>
            <w:vAlign w:val="center"/>
          </w:tcPr>
          <w:p w:rsidR="0062697D" w:rsidRPr="00C66B91" w:rsidRDefault="008A588E" w:rsidP="0062697D">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62697D" w:rsidRPr="00C66B91">
              <w:rPr>
                <w:b/>
                <w:sz w:val="22"/>
                <w:szCs w:val="22"/>
                <w:lang w:val="en-GB"/>
              </w:rPr>
              <w:t>.2015</w:t>
            </w:r>
          </w:p>
          <w:p w:rsidR="0062697D" w:rsidRPr="00C66B91" w:rsidRDefault="0062697D" w:rsidP="0062697D">
            <w:pPr>
              <w:autoSpaceDE w:val="0"/>
              <w:autoSpaceDN w:val="0"/>
              <w:adjustRightInd w:val="0"/>
              <w:jc w:val="center"/>
              <w:rPr>
                <w:b/>
                <w:sz w:val="22"/>
                <w:szCs w:val="22"/>
                <w:lang w:val="en-GB"/>
              </w:rPr>
            </w:pPr>
            <w:r w:rsidRPr="00C66B91">
              <w:rPr>
                <w:b/>
                <w:sz w:val="22"/>
                <w:szCs w:val="22"/>
                <w:lang w:val="en-GB"/>
              </w:rPr>
              <w:t>BGN’000</w:t>
            </w:r>
          </w:p>
        </w:tc>
        <w:tc>
          <w:tcPr>
            <w:tcW w:w="730" w:type="pct"/>
            <w:vAlign w:val="center"/>
          </w:tcPr>
          <w:p w:rsidR="0062697D" w:rsidRPr="00C66B91" w:rsidRDefault="008A588E" w:rsidP="0062697D">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62697D" w:rsidRPr="00C66B91">
              <w:rPr>
                <w:b/>
                <w:sz w:val="22"/>
                <w:szCs w:val="22"/>
                <w:lang w:val="en-GB"/>
              </w:rPr>
              <w:t>.2014</w:t>
            </w:r>
          </w:p>
          <w:p w:rsidR="0062697D" w:rsidRPr="00C66B91" w:rsidRDefault="0062697D" w:rsidP="0062697D">
            <w:pPr>
              <w:autoSpaceDE w:val="0"/>
              <w:autoSpaceDN w:val="0"/>
              <w:adjustRightInd w:val="0"/>
              <w:jc w:val="center"/>
              <w:rPr>
                <w:b/>
                <w:sz w:val="22"/>
                <w:szCs w:val="22"/>
                <w:lang w:val="en-GB"/>
              </w:rPr>
            </w:pPr>
            <w:r w:rsidRPr="00C66B91">
              <w:rPr>
                <w:b/>
                <w:sz w:val="22"/>
                <w:szCs w:val="22"/>
                <w:lang w:val="en-GB"/>
              </w:rPr>
              <w:t>BGN’000</w:t>
            </w:r>
          </w:p>
        </w:tc>
      </w:tr>
      <w:tr w:rsidR="00E922D1" w:rsidRPr="00C66B91" w:rsidTr="00C46C22">
        <w:trPr>
          <w:trHeight w:val="227"/>
        </w:trPr>
        <w:tc>
          <w:tcPr>
            <w:tcW w:w="3404" w:type="pct"/>
            <w:vAlign w:val="center"/>
          </w:tcPr>
          <w:p w:rsidR="00E922D1" w:rsidRPr="00C66B91" w:rsidRDefault="00E922D1" w:rsidP="00C46C22">
            <w:pPr>
              <w:rPr>
                <w:sz w:val="22"/>
                <w:szCs w:val="22"/>
                <w:lang w:val="en-GB"/>
              </w:rPr>
            </w:pPr>
          </w:p>
        </w:tc>
        <w:tc>
          <w:tcPr>
            <w:tcW w:w="866" w:type="pct"/>
            <w:tcBorders>
              <w:top w:val="nil"/>
              <w:left w:val="nil"/>
              <w:right w:val="nil"/>
            </w:tcBorders>
            <w:tcMar>
              <w:right w:w="340" w:type="dxa"/>
            </w:tcMar>
            <w:vAlign w:val="center"/>
          </w:tcPr>
          <w:p w:rsidR="00E922D1" w:rsidRPr="00C66B91" w:rsidRDefault="00E922D1" w:rsidP="00C46C22">
            <w:pPr>
              <w:jc w:val="right"/>
              <w:rPr>
                <w:sz w:val="22"/>
                <w:szCs w:val="22"/>
                <w:lang w:val="en-GB"/>
              </w:rPr>
            </w:pPr>
          </w:p>
        </w:tc>
        <w:tc>
          <w:tcPr>
            <w:tcW w:w="730" w:type="pct"/>
            <w:tcBorders>
              <w:top w:val="nil"/>
              <w:left w:val="nil"/>
              <w:right w:val="nil"/>
            </w:tcBorders>
            <w:vAlign w:val="center"/>
          </w:tcPr>
          <w:p w:rsidR="00E922D1" w:rsidRPr="00C66B91" w:rsidRDefault="00E922D1" w:rsidP="00C46C22">
            <w:pPr>
              <w:jc w:val="right"/>
              <w:rPr>
                <w:sz w:val="22"/>
                <w:szCs w:val="22"/>
                <w:lang w:val="en-GB"/>
              </w:rPr>
            </w:pPr>
          </w:p>
        </w:tc>
      </w:tr>
      <w:tr w:rsidR="00E922D1" w:rsidRPr="00C66B91" w:rsidTr="00C46C22">
        <w:trPr>
          <w:trHeight w:val="227"/>
        </w:trPr>
        <w:tc>
          <w:tcPr>
            <w:tcW w:w="3404" w:type="pct"/>
            <w:vAlign w:val="center"/>
          </w:tcPr>
          <w:p w:rsidR="00E922D1" w:rsidRPr="00C66B91" w:rsidRDefault="00F43B7C" w:rsidP="00C46C22">
            <w:pPr>
              <w:rPr>
                <w:color w:val="FF0000"/>
                <w:sz w:val="22"/>
                <w:szCs w:val="22"/>
                <w:lang w:val="en-GB"/>
              </w:rPr>
            </w:pPr>
            <w:r>
              <w:rPr>
                <w:color w:val="000000"/>
                <w:sz w:val="22"/>
                <w:szCs w:val="22"/>
                <w:lang w:val="en-GB"/>
              </w:rPr>
              <w:t>Interest expenses</w:t>
            </w:r>
          </w:p>
        </w:tc>
        <w:tc>
          <w:tcPr>
            <w:tcW w:w="866" w:type="pct"/>
            <w:tcBorders>
              <w:top w:val="nil"/>
              <w:left w:val="nil"/>
              <w:right w:val="nil"/>
            </w:tcBorders>
            <w:tcMar>
              <w:right w:w="284" w:type="dxa"/>
            </w:tcMar>
            <w:vAlign w:val="center"/>
          </w:tcPr>
          <w:p w:rsidR="00E922D1" w:rsidRPr="00C66B91" w:rsidRDefault="00B06C2A" w:rsidP="00C46C22">
            <w:pPr>
              <w:jc w:val="right"/>
              <w:rPr>
                <w:color w:val="000000"/>
                <w:sz w:val="22"/>
                <w:szCs w:val="22"/>
                <w:lang w:val="en-GB"/>
              </w:rPr>
            </w:pPr>
            <w:r w:rsidRPr="00C66B91">
              <w:rPr>
                <w:color w:val="000000"/>
                <w:sz w:val="22"/>
                <w:szCs w:val="22"/>
                <w:lang w:val="en-GB"/>
              </w:rPr>
              <w:t>460</w:t>
            </w:r>
          </w:p>
        </w:tc>
        <w:tc>
          <w:tcPr>
            <w:tcW w:w="730" w:type="pct"/>
            <w:tcBorders>
              <w:top w:val="nil"/>
              <w:left w:val="nil"/>
              <w:right w:val="nil"/>
            </w:tcBorders>
            <w:tcMar>
              <w:right w:w="284" w:type="dxa"/>
            </w:tcMar>
            <w:vAlign w:val="center"/>
          </w:tcPr>
          <w:p w:rsidR="00E922D1" w:rsidRPr="00C66B91" w:rsidRDefault="00B06C2A" w:rsidP="00C46C22">
            <w:pPr>
              <w:jc w:val="right"/>
              <w:rPr>
                <w:color w:val="000000"/>
                <w:sz w:val="22"/>
                <w:szCs w:val="22"/>
                <w:lang w:val="en-GB"/>
              </w:rPr>
            </w:pPr>
            <w:r w:rsidRPr="00C66B91">
              <w:rPr>
                <w:color w:val="000000"/>
                <w:sz w:val="22"/>
                <w:szCs w:val="22"/>
                <w:lang w:val="en-GB"/>
              </w:rPr>
              <w:t>26</w:t>
            </w:r>
            <w:r w:rsidR="0062697D" w:rsidRPr="00C66B91">
              <w:rPr>
                <w:color w:val="000000"/>
                <w:sz w:val="22"/>
                <w:szCs w:val="22"/>
                <w:lang w:val="en-GB"/>
              </w:rPr>
              <w:t>0</w:t>
            </w:r>
          </w:p>
        </w:tc>
      </w:tr>
      <w:tr w:rsidR="00E922D1" w:rsidRPr="00C66B91" w:rsidTr="00C46C22">
        <w:trPr>
          <w:trHeight w:val="227"/>
        </w:trPr>
        <w:tc>
          <w:tcPr>
            <w:tcW w:w="3404" w:type="pct"/>
            <w:vAlign w:val="center"/>
          </w:tcPr>
          <w:p w:rsidR="00E922D1" w:rsidRPr="00C66B91" w:rsidRDefault="00F43B7C" w:rsidP="00C46C22">
            <w:pPr>
              <w:rPr>
                <w:color w:val="000000"/>
                <w:sz w:val="22"/>
                <w:szCs w:val="22"/>
                <w:lang w:val="en-GB"/>
              </w:rPr>
            </w:pPr>
            <w:r>
              <w:rPr>
                <w:color w:val="000000"/>
                <w:sz w:val="22"/>
                <w:szCs w:val="22"/>
                <w:lang w:val="en-GB"/>
              </w:rPr>
              <w:t>Fees</w:t>
            </w:r>
          </w:p>
        </w:tc>
        <w:tc>
          <w:tcPr>
            <w:tcW w:w="866" w:type="pct"/>
            <w:tcBorders>
              <w:top w:val="nil"/>
              <w:left w:val="nil"/>
              <w:right w:val="nil"/>
            </w:tcBorders>
            <w:tcMar>
              <w:right w:w="284" w:type="dxa"/>
            </w:tcMar>
            <w:vAlign w:val="center"/>
          </w:tcPr>
          <w:p w:rsidR="00E922D1" w:rsidRPr="00C66B91" w:rsidRDefault="00B06C2A" w:rsidP="00C46C22">
            <w:pPr>
              <w:jc w:val="right"/>
              <w:rPr>
                <w:color w:val="000000"/>
                <w:sz w:val="22"/>
                <w:szCs w:val="22"/>
                <w:lang w:val="en-GB"/>
              </w:rPr>
            </w:pPr>
            <w:r w:rsidRPr="00C66B91">
              <w:rPr>
                <w:color w:val="000000"/>
                <w:sz w:val="22"/>
                <w:szCs w:val="22"/>
                <w:lang w:val="en-GB"/>
              </w:rPr>
              <w:t>200</w:t>
            </w:r>
          </w:p>
        </w:tc>
        <w:tc>
          <w:tcPr>
            <w:tcW w:w="730" w:type="pct"/>
            <w:tcBorders>
              <w:top w:val="nil"/>
              <w:left w:val="nil"/>
              <w:right w:val="nil"/>
            </w:tcBorders>
            <w:tcMar>
              <w:right w:w="284" w:type="dxa"/>
            </w:tcMar>
            <w:vAlign w:val="center"/>
          </w:tcPr>
          <w:p w:rsidR="00E922D1" w:rsidRPr="00C66B91" w:rsidRDefault="00B06C2A" w:rsidP="00C46C22">
            <w:pPr>
              <w:jc w:val="right"/>
              <w:rPr>
                <w:color w:val="000000"/>
                <w:sz w:val="22"/>
                <w:szCs w:val="22"/>
                <w:lang w:val="en-GB"/>
              </w:rPr>
            </w:pPr>
            <w:r w:rsidRPr="00C66B91">
              <w:rPr>
                <w:color w:val="000000"/>
                <w:sz w:val="22"/>
                <w:szCs w:val="22"/>
                <w:lang w:val="en-GB"/>
              </w:rPr>
              <w:t>57</w:t>
            </w:r>
          </w:p>
        </w:tc>
      </w:tr>
      <w:tr w:rsidR="00E922D1" w:rsidRPr="00C66B91" w:rsidTr="00C46C22">
        <w:trPr>
          <w:trHeight w:val="227"/>
        </w:trPr>
        <w:tc>
          <w:tcPr>
            <w:tcW w:w="3404" w:type="pct"/>
            <w:vAlign w:val="center"/>
          </w:tcPr>
          <w:p w:rsidR="00E922D1" w:rsidRPr="00C66B91" w:rsidRDefault="00F43B7C" w:rsidP="00C46C22">
            <w:pPr>
              <w:rPr>
                <w:color w:val="000000"/>
                <w:sz w:val="22"/>
                <w:szCs w:val="22"/>
                <w:lang w:val="en-GB"/>
              </w:rPr>
            </w:pPr>
            <w:r>
              <w:rPr>
                <w:color w:val="000000"/>
                <w:sz w:val="22"/>
                <w:szCs w:val="22"/>
                <w:lang w:val="en-GB"/>
              </w:rPr>
              <w:t>FX exchange loss</w:t>
            </w:r>
          </w:p>
        </w:tc>
        <w:tc>
          <w:tcPr>
            <w:tcW w:w="866" w:type="pct"/>
            <w:tcBorders>
              <w:top w:val="nil"/>
              <w:left w:val="nil"/>
              <w:right w:val="nil"/>
            </w:tcBorders>
            <w:tcMar>
              <w:right w:w="284" w:type="dxa"/>
            </w:tcMar>
            <w:vAlign w:val="center"/>
          </w:tcPr>
          <w:p w:rsidR="00E922D1" w:rsidRPr="00C66B91" w:rsidRDefault="00B06C2A" w:rsidP="00C46C22">
            <w:pPr>
              <w:jc w:val="right"/>
              <w:rPr>
                <w:color w:val="000000"/>
                <w:sz w:val="22"/>
                <w:szCs w:val="22"/>
                <w:lang w:val="en-GB"/>
              </w:rPr>
            </w:pPr>
            <w:r w:rsidRPr="00C66B91">
              <w:rPr>
                <w:color w:val="000000"/>
                <w:sz w:val="22"/>
                <w:szCs w:val="22"/>
                <w:lang w:val="en-GB"/>
              </w:rPr>
              <w:t>153</w:t>
            </w:r>
          </w:p>
        </w:tc>
        <w:tc>
          <w:tcPr>
            <w:tcW w:w="730" w:type="pct"/>
            <w:tcBorders>
              <w:top w:val="nil"/>
              <w:left w:val="nil"/>
              <w:right w:val="nil"/>
            </w:tcBorders>
            <w:tcMar>
              <w:right w:w="284" w:type="dxa"/>
            </w:tcMar>
            <w:vAlign w:val="center"/>
          </w:tcPr>
          <w:p w:rsidR="00E922D1" w:rsidRPr="00C66B91" w:rsidRDefault="00B06C2A" w:rsidP="00C46C22">
            <w:pPr>
              <w:jc w:val="right"/>
              <w:rPr>
                <w:color w:val="000000"/>
                <w:sz w:val="22"/>
                <w:szCs w:val="22"/>
                <w:lang w:val="en-GB"/>
              </w:rPr>
            </w:pPr>
            <w:r w:rsidRPr="00C66B91">
              <w:rPr>
                <w:color w:val="000000"/>
                <w:sz w:val="22"/>
                <w:szCs w:val="22"/>
                <w:lang w:val="en-GB"/>
              </w:rPr>
              <w:t>5</w:t>
            </w:r>
          </w:p>
        </w:tc>
      </w:tr>
      <w:tr w:rsidR="00E922D1" w:rsidRPr="00C66B91" w:rsidTr="00C46C22">
        <w:trPr>
          <w:trHeight w:val="227"/>
        </w:trPr>
        <w:tc>
          <w:tcPr>
            <w:tcW w:w="3404" w:type="pct"/>
            <w:vAlign w:val="center"/>
          </w:tcPr>
          <w:p w:rsidR="00E922D1" w:rsidRPr="00C66B91" w:rsidRDefault="00F43B7C" w:rsidP="00C46C22">
            <w:pPr>
              <w:jc w:val="right"/>
              <w:rPr>
                <w:b/>
                <w:sz w:val="22"/>
                <w:szCs w:val="22"/>
                <w:lang w:val="en-GB"/>
              </w:rPr>
            </w:pPr>
            <w:r>
              <w:rPr>
                <w:b/>
                <w:sz w:val="22"/>
                <w:szCs w:val="22"/>
                <w:lang w:val="en-GB"/>
              </w:rPr>
              <w:t>Total</w:t>
            </w:r>
          </w:p>
        </w:tc>
        <w:tc>
          <w:tcPr>
            <w:tcW w:w="866" w:type="pct"/>
            <w:tcBorders>
              <w:top w:val="single" w:sz="4" w:space="0" w:color="auto"/>
              <w:left w:val="nil"/>
              <w:bottom w:val="double" w:sz="4" w:space="0" w:color="auto"/>
              <w:right w:val="nil"/>
            </w:tcBorders>
            <w:tcMar>
              <w:right w:w="284" w:type="dxa"/>
            </w:tcMar>
            <w:vAlign w:val="center"/>
          </w:tcPr>
          <w:p w:rsidR="00E922D1" w:rsidRPr="00C66B91" w:rsidRDefault="00B06C2A" w:rsidP="00C46C22">
            <w:pPr>
              <w:jc w:val="right"/>
              <w:rPr>
                <w:b/>
                <w:color w:val="000000"/>
                <w:sz w:val="22"/>
                <w:szCs w:val="22"/>
                <w:lang w:val="en-GB"/>
              </w:rPr>
            </w:pPr>
            <w:r w:rsidRPr="00C66B91">
              <w:rPr>
                <w:b/>
                <w:color w:val="000000"/>
                <w:sz w:val="22"/>
                <w:szCs w:val="22"/>
                <w:lang w:val="en-GB"/>
              </w:rPr>
              <w:t>813</w:t>
            </w:r>
          </w:p>
        </w:tc>
        <w:tc>
          <w:tcPr>
            <w:tcW w:w="730" w:type="pct"/>
            <w:tcBorders>
              <w:top w:val="single" w:sz="4" w:space="0" w:color="auto"/>
              <w:left w:val="nil"/>
              <w:bottom w:val="double" w:sz="4" w:space="0" w:color="auto"/>
              <w:right w:val="nil"/>
            </w:tcBorders>
            <w:tcMar>
              <w:right w:w="284" w:type="dxa"/>
            </w:tcMar>
            <w:vAlign w:val="center"/>
          </w:tcPr>
          <w:p w:rsidR="00E922D1" w:rsidRPr="00C66B91" w:rsidRDefault="00B06C2A" w:rsidP="00C46C22">
            <w:pPr>
              <w:jc w:val="right"/>
              <w:rPr>
                <w:b/>
                <w:color w:val="000000"/>
                <w:sz w:val="22"/>
                <w:szCs w:val="22"/>
                <w:lang w:val="en-GB"/>
              </w:rPr>
            </w:pPr>
            <w:r w:rsidRPr="00C66B91">
              <w:rPr>
                <w:b/>
                <w:color w:val="000000"/>
                <w:sz w:val="22"/>
                <w:szCs w:val="22"/>
                <w:lang w:val="en-GB"/>
              </w:rPr>
              <w:t>322</w:t>
            </w:r>
          </w:p>
        </w:tc>
      </w:tr>
    </w:tbl>
    <w:p w:rsidR="00E922D1" w:rsidRPr="00C66B91" w:rsidRDefault="00E922D1" w:rsidP="00E922D1">
      <w:pPr>
        <w:autoSpaceDE w:val="0"/>
        <w:autoSpaceDN w:val="0"/>
        <w:adjustRightInd w:val="0"/>
        <w:ind w:left="502"/>
        <w:rPr>
          <w:b/>
          <w:sz w:val="22"/>
          <w:szCs w:val="22"/>
          <w:lang w:val="en-GB"/>
        </w:rPr>
      </w:pPr>
    </w:p>
    <w:p w:rsidR="00E922D1" w:rsidRPr="00C66B91" w:rsidRDefault="00E922D1" w:rsidP="00E922D1">
      <w:pPr>
        <w:autoSpaceDE w:val="0"/>
        <w:autoSpaceDN w:val="0"/>
        <w:adjustRightInd w:val="0"/>
        <w:ind w:left="502"/>
        <w:rPr>
          <w:b/>
          <w:sz w:val="22"/>
          <w:szCs w:val="22"/>
          <w:lang w:val="en-GB"/>
        </w:rPr>
      </w:pPr>
    </w:p>
    <w:p w:rsidR="00E922D1" w:rsidRPr="00C66B91" w:rsidRDefault="00E922D1" w:rsidP="00E922D1">
      <w:pPr>
        <w:autoSpaceDE w:val="0"/>
        <w:autoSpaceDN w:val="0"/>
        <w:adjustRightInd w:val="0"/>
        <w:ind w:left="502"/>
        <w:rPr>
          <w:b/>
          <w:sz w:val="22"/>
          <w:szCs w:val="22"/>
          <w:lang w:val="en-GB"/>
        </w:rPr>
      </w:pPr>
    </w:p>
    <w:p w:rsidR="00F43B7C" w:rsidRPr="005E30E6" w:rsidRDefault="00F43B7C" w:rsidP="00F43B7C">
      <w:pPr>
        <w:numPr>
          <w:ilvl w:val="12"/>
          <w:numId w:val="0"/>
        </w:numPr>
        <w:jc w:val="both"/>
        <w:rPr>
          <w:b/>
          <w:caps/>
          <w:sz w:val="22"/>
          <w:szCs w:val="22"/>
        </w:rPr>
      </w:pPr>
      <w:r w:rsidRPr="005E30E6">
        <w:rPr>
          <w:b/>
          <w:sz w:val="22"/>
          <w:szCs w:val="22"/>
        </w:rPr>
        <w:t xml:space="preserve">21.      </w:t>
      </w:r>
      <w:r w:rsidRPr="005E30E6">
        <w:rPr>
          <w:b/>
          <w:caps/>
          <w:sz w:val="22"/>
          <w:szCs w:val="22"/>
        </w:rPr>
        <w:t>TAXES</w:t>
      </w:r>
    </w:p>
    <w:p w:rsidR="00F43B7C" w:rsidRPr="005E30E6" w:rsidRDefault="00F43B7C" w:rsidP="00F43B7C">
      <w:pPr>
        <w:rPr>
          <w:b/>
          <w:color w:val="FF0000"/>
          <w:sz w:val="22"/>
          <w:szCs w:val="22"/>
        </w:rPr>
      </w:pPr>
    </w:p>
    <w:p w:rsidR="00F43B7C" w:rsidRPr="005E30E6" w:rsidRDefault="00F43B7C" w:rsidP="00F43B7C">
      <w:pPr>
        <w:pStyle w:val="BodyText"/>
        <w:rPr>
          <w:sz w:val="22"/>
          <w:szCs w:val="22"/>
        </w:rPr>
      </w:pPr>
      <w:r w:rsidRPr="005E30E6">
        <w:rPr>
          <w:sz w:val="22"/>
          <w:szCs w:val="22"/>
        </w:rPr>
        <w:t>The main components of the income taxes, as well as the relation between the tax costs and the accounting profit are explained as follows:</w:t>
      </w:r>
    </w:p>
    <w:p w:rsidR="00E922D1" w:rsidRPr="00C66B91" w:rsidRDefault="00E922D1" w:rsidP="00E922D1">
      <w:pPr>
        <w:pStyle w:val="BodyText"/>
        <w:rPr>
          <w:sz w:val="22"/>
          <w:szCs w:val="22"/>
          <w:lang w:val="en-GB"/>
        </w:rPr>
      </w:pPr>
    </w:p>
    <w:tbl>
      <w:tblPr>
        <w:tblW w:w="4923" w:type="pct"/>
        <w:tblLook w:val="0000" w:firstRow="0" w:lastRow="0" w:firstColumn="0" w:lastColumn="0" w:noHBand="0" w:noVBand="0"/>
      </w:tblPr>
      <w:tblGrid>
        <w:gridCol w:w="6285"/>
        <w:gridCol w:w="1332"/>
        <w:gridCol w:w="1332"/>
      </w:tblGrid>
      <w:tr w:rsidR="0062697D" w:rsidRPr="00C66B91" w:rsidTr="00C46C22">
        <w:tc>
          <w:tcPr>
            <w:tcW w:w="3512" w:type="pct"/>
          </w:tcPr>
          <w:p w:rsidR="0062697D" w:rsidRPr="00C66B91" w:rsidRDefault="0062697D" w:rsidP="0062697D">
            <w:pPr>
              <w:tabs>
                <w:tab w:val="left" w:pos="360"/>
              </w:tabs>
              <w:rPr>
                <w:b/>
                <w:lang w:val="en-GB"/>
              </w:rPr>
            </w:pPr>
          </w:p>
        </w:tc>
        <w:tc>
          <w:tcPr>
            <w:tcW w:w="744" w:type="pct"/>
            <w:vAlign w:val="center"/>
          </w:tcPr>
          <w:p w:rsidR="0062697D" w:rsidRPr="00C66B91" w:rsidRDefault="008A588E" w:rsidP="0062697D">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62697D" w:rsidRPr="00C66B91">
              <w:rPr>
                <w:b/>
                <w:sz w:val="22"/>
                <w:szCs w:val="22"/>
                <w:lang w:val="en-GB"/>
              </w:rPr>
              <w:t>.2015</w:t>
            </w:r>
          </w:p>
          <w:p w:rsidR="0062697D" w:rsidRPr="00C66B91" w:rsidRDefault="0062697D" w:rsidP="0062697D">
            <w:pPr>
              <w:autoSpaceDE w:val="0"/>
              <w:autoSpaceDN w:val="0"/>
              <w:adjustRightInd w:val="0"/>
              <w:jc w:val="center"/>
              <w:rPr>
                <w:b/>
                <w:sz w:val="22"/>
                <w:szCs w:val="22"/>
                <w:lang w:val="en-GB"/>
              </w:rPr>
            </w:pPr>
            <w:r w:rsidRPr="00C66B91">
              <w:rPr>
                <w:b/>
                <w:sz w:val="22"/>
                <w:szCs w:val="22"/>
                <w:lang w:val="en-GB"/>
              </w:rPr>
              <w:t>BGN’000</w:t>
            </w:r>
          </w:p>
        </w:tc>
        <w:tc>
          <w:tcPr>
            <w:tcW w:w="744" w:type="pct"/>
            <w:vAlign w:val="center"/>
          </w:tcPr>
          <w:p w:rsidR="0062697D" w:rsidRPr="00C66B91" w:rsidRDefault="008A588E" w:rsidP="0062697D">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62697D" w:rsidRPr="00C66B91">
              <w:rPr>
                <w:b/>
                <w:sz w:val="22"/>
                <w:szCs w:val="22"/>
                <w:lang w:val="en-GB"/>
              </w:rPr>
              <w:t>.2014</w:t>
            </w:r>
          </w:p>
          <w:p w:rsidR="0062697D" w:rsidRPr="00C66B91" w:rsidRDefault="0062697D" w:rsidP="0062697D">
            <w:pPr>
              <w:autoSpaceDE w:val="0"/>
              <w:autoSpaceDN w:val="0"/>
              <w:adjustRightInd w:val="0"/>
              <w:jc w:val="center"/>
              <w:rPr>
                <w:b/>
                <w:sz w:val="22"/>
                <w:szCs w:val="22"/>
                <w:lang w:val="en-GB"/>
              </w:rPr>
            </w:pPr>
            <w:r w:rsidRPr="00C66B91">
              <w:rPr>
                <w:b/>
                <w:sz w:val="22"/>
                <w:szCs w:val="22"/>
                <w:lang w:val="en-GB"/>
              </w:rPr>
              <w:t>BGN’000</w:t>
            </w:r>
          </w:p>
        </w:tc>
      </w:tr>
      <w:tr w:rsidR="00E922D1" w:rsidRPr="00C66B91" w:rsidTr="00C46C22">
        <w:trPr>
          <w:trHeight w:val="284"/>
        </w:trPr>
        <w:tc>
          <w:tcPr>
            <w:tcW w:w="3512" w:type="pct"/>
          </w:tcPr>
          <w:p w:rsidR="00E922D1" w:rsidRPr="00C66B91" w:rsidRDefault="00E922D1" w:rsidP="00C46C22">
            <w:pPr>
              <w:tabs>
                <w:tab w:val="left" w:pos="360"/>
              </w:tabs>
              <w:rPr>
                <w:b/>
                <w:lang w:val="en-GB"/>
              </w:rPr>
            </w:pPr>
          </w:p>
        </w:tc>
        <w:tc>
          <w:tcPr>
            <w:tcW w:w="744" w:type="pct"/>
            <w:tcBorders>
              <w:bottom w:val="single" w:sz="4" w:space="0" w:color="auto"/>
            </w:tcBorders>
          </w:tcPr>
          <w:p w:rsidR="00E922D1" w:rsidRPr="00C66B91" w:rsidRDefault="00E922D1" w:rsidP="00C46C22">
            <w:pPr>
              <w:numPr>
                <w:ilvl w:val="12"/>
                <w:numId w:val="0"/>
              </w:numPr>
              <w:jc w:val="right"/>
              <w:rPr>
                <w:b/>
                <w:lang w:val="en-GB"/>
              </w:rPr>
            </w:pPr>
          </w:p>
        </w:tc>
        <w:tc>
          <w:tcPr>
            <w:tcW w:w="744" w:type="pct"/>
            <w:tcBorders>
              <w:bottom w:val="single" w:sz="4" w:space="0" w:color="auto"/>
            </w:tcBorders>
          </w:tcPr>
          <w:p w:rsidR="00E922D1" w:rsidRPr="00C66B91" w:rsidRDefault="00E922D1" w:rsidP="00C46C22">
            <w:pPr>
              <w:rPr>
                <w:lang w:val="en-GB"/>
              </w:rPr>
            </w:pPr>
          </w:p>
        </w:tc>
      </w:tr>
      <w:tr w:rsidR="00F43B7C" w:rsidRPr="00C66B91" w:rsidTr="00C46C22">
        <w:trPr>
          <w:trHeight w:val="284"/>
        </w:trPr>
        <w:tc>
          <w:tcPr>
            <w:tcW w:w="3512" w:type="pct"/>
            <w:vAlign w:val="center"/>
          </w:tcPr>
          <w:p w:rsidR="00F43B7C" w:rsidRPr="005E30E6" w:rsidRDefault="00F43B7C" w:rsidP="00F43B7C">
            <w:pPr>
              <w:tabs>
                <w:tab w:val="left" w:pos="360"/>
              </w:tabs>
              <w:rPr>
                <w:b/>
              </w:rPr>
            </w:pPr>
            <w:r w:rsidRPr="005E30E6">
              <w:rPr>
                <w:b/>
                <w:sz w:val="22"/>
                <w:szCs w:val="22"/>
              </w:rPr>
              <w:t>Accounting profit before taxes</w:t>
            </w:r>
          </w:p>
        </w:tc>
        <w:tc>
          <w:tcPr>
            <w:tcW w:w="744" w:type="pct"/>
            <w:tcBorders>
              <w:top w:val="single" w:sz="4" w:space="0" w:color="auto"/>
              <w:bottom w:val="single" w:sz="4" w:space="0" w:color="auto"/>
            </w:tcBorders>
            <w:vAlign w:val="bottom"/>
          </w:tcPr>
          <w:p w:rsidR="00F43B7C" w:rsidRPr="00C66B91" w:rsidRDefault="00F43B7C" w:rsidP="00F43B7C">
            <w:pPr>
              <w:jc w:val="center"/>
              <w:rPr>
                <w:color w:val="241E1C"/>
                <w:sz w:val="22"/>
                <w:szCs w:val="22"/>
                <w:lang w:val="en-GB"/>
              </w:rPr>
            </w:pPr>
            <w:r w:rsidRPr="00C66B91">
              <w:rPr>
                <w:color w:val="241E1C"/>
                <w:sz w:val="22"/>
                <w:szCs w:val="22"/>
                <w:lang w:val="en-GB"/>
              </w:rPr>
              <w:t xml:space="preserve">       5,525</w:t>
            </w:r>
          </w:p>
        </w:tc>
        <w:tc>
          <w:tcPr>
            <w:tcW w:w="744" w:type="pct"/>
            <w:tcBorders>
              <w:top w:val="single" w:sz="4" w:space="0" w:color="auto"/>
              <w:bottom w:val="single" w:sz="4" w:space="0" w:color="auto"/>
            </w:tcBorders>
            <w:vAlign w:val="bottom"/>
          </w:tcPr>
          <w:p w:rsidR="00F43B7C" w:rsidRPr="00C66B91" w:rsidRDefault="00F43B7C" w:rsidP="00F43B7C">
            <w:pPr>
              <w:ind w:right="15"/>
              <w:jc w:val="center"/>
              <w:rPr>
                <w:color w:val="241E1C"/>
                <w:sz w:val="22"/>
                <w:szCs w:val="22"/>
                <w:lang w:val="en-GB"/>
              </w:rPr>
            </w:pPr>
            <w:r w:rsidRPr="00C66B91">
              <w:rPr>
                <w:color w:val="241E1C"/>
                <w:sz w:val="22"/>
                <w:szCs w:val="22"/>
                <w:lang w:val="en-GB"/>
              </w:rPr>
              <w:t>4,448</w:t>
            </w:r>
          </w:p>
        </w:tc>
      </w:tr>
      <w:tr w:rsidR="00F43B7C" w:rsidRPr="00C66B91" w:rsidTr="00C46C22">
        <w:trPr>
          <w:trHeight w:val="284"/>
        </w:trPr>
        <w:tc>
          <w:tcPr>
            <w:tcW w:w="3512" w:type="pct"/>
            <w:vAlign w:val="center"/>
          </w:tcPr>
          <w:p w:rsidR="00F43B7C" w:rsidRPr="005E30E6" w:rsidRDefault="00F43B7C" w:rsidP="00F43B7C">
            <w:pPr>
              <w:rPr>
                <w:b/>
              </w:rPr>
            </w:pPr>
          </w:p>
        </w:tc>
        <w:tc>
          <w:tcPr>
            <w:tcW w:w="744" w:type="pct"/>
            <w:tcBorders>
              <w:top w:val="single" w:sz="4" w:space="0" w:color="auto"/>
            </w:tcBorders>
            <w:vAlign w:val="center"/>
          </w:tcPr>
          <w:p w:rsidR="00F43B7C" w:rsidRPr="00C66B91" w:rsidRDefault="00F43B7C" w:rsidP="00F43B7C">
            <w:pPr>
              <w:numPr>
                <w:ilvl w:val="12"/>
                <w:numId w:val="0"/>
              </w:numPr>
              <w:ind w:right="70"/>
              <w:jc w:val="right"/>
              <w:rPr>
                <w:b/>
                <w:sz w:val="22"/>
                <w:szCs w:val="22"/>
                <w:lang w:val="en-GB"/>
              </w:rPr>
            </w:pPr>
          </w:p>
        </w:tc>
        <w:tc>
          <w:tcPr>
            <w:tcW w:w="744" w:type="pct"/>
            <w:tcBorders>
              <w:top w:val="single" w:sz="4" w:space="0" w:color="auto"/>
            </w:tcBorders>
            <w:vAlign w:val="center"/>
          </w:tcPr>
          <w:p w:rsidR="00F43B7C" w:rsidRPr="00C66B91" w:rsidRDefault="00F43B7C" w:rsidP="00F43B7C">
            <w:pPr>
              <w:numPr>
                <w:ilvl w:val="12"/>
                <w:numId w:val="0"/>
              </w:numPr>
              <w:ind w:right="70"/>
              <w:jc w:val="right"/>
              <w:rPr>
                <w:b/>
                <w:sz w:val="22"/>
                <w:szCs w:val="22"/>
                <w:lang w:val="en-GB"/>
              </w:rPr>
            </w:pPr>
          </w:p>
        </w:tc>
      </w:tr>
      <w:tr w:rsidR="00F43B7C" w:rsidRPr="00C66B91" w:rsidTr="00C46C22">
        <w:trPr>
          <w:trHeight w:val="284"/>
        </w:trPr>
        <w:tc>
          <w:tcPr>
            <w:tcW w:w="3512" w:type="pct"/>
            <w:vAlign w:val="center"/>
          </w:tcPr>
          <w:p w:rsidR="00F43B7C" w:rsidRPr="005E30E6" w:rsidRDefault="00F43B7C" w:rsidP="00F43B7C">
            <w:pPr>
              <w:rPr>
                <w:b/>
              </w:rPr>
            </w:pPr>
            <w:r w:rsidRPr="005E30E6">
              <w:rPr>
                <w:b/>
                <w:sz w:val="22"/>
                <w:szCs w:val="22"/>
              </w:rPr>
              <w:t>Income tax</w:t>
            </w:r>
          </w:p>
        </w:tc>
        <w:tc>
          <w:tcPr>
            <w:tcW w:w="744" w:type="pct"/>
            <w:vAlign w:val="center"/>
          </w:tcPr>
          <w:p w:rsidR="00F43B7C" w:rsidRPr="00C66B91" w:rsidRDefault="00F43B7C" w:rsidP="00F43B7C">
            <w:pPr>
              <w:numPr>
                <w:ilvl w:val="12"/>
                <w:numId w:val="0"/>
              </w:numPr>
              <w:ind w:right="70"/>
              <w:jc w:val="right"/>
              <w:rPr>
                <w:sz w:val="22"/>
                <w:szCs w:val="22"/>
                <w:lang w:val="en-GB"/>
              </w:rPr>
            </w:pPr>
            <w:r w:rsidRPr="00C66B91">
              <w:rPr>
                <w:sz w:val="22"/>
                <w:szCs w:val="22"/>
                <w:lang w:val="en-GB"/>
              </w:rPr>
              <w:t>(664)</w:t>
            </w:r>
          </w:p>
        </w:tc>
        <w:tc>
          <w:tcPr>
            <w:tcW w:w="744" w:type="pct"/>
            <w:vAlign w:val="center"/>
          </w:tcPr>
          <w:p w:rsidR="00F43B7C" w:rsidRPr="00C66B91" w:rsidRDefault="00F43B7C" w:rsidP="00F43B7C">
            <w:pPr>
              <w:numPr>
                <w:ilvl w:val="12"/>
                <w:numId w:val="0"/>
              </w:numPr>
              <w:ind w:right="70"/>
              <w:jc w:val="right"/>
              <w:rPr>
                <w:sz w:val="22"/>
                <w:szCs w:val="22"/>
                <w:lang w:val="en-GB"/>
              </w:rPr>
            </w:pPr>
            <w:r w:rsidRPr="00C66B91">
              <w:rPr>
                <w:sz w:val="22"/>
                <w:szCs w:val="22"/>
                <w:lang w:val="en-GB"/>
              </w:rPr>
              <w:t>(445)</w:t>
            </w:r>
          </w:p>
        </w:tc>
      </w:tr>
      <w:tr w:rsidR="00F43B7C" w:rsidRPr="00C66B91" w:rsidTr="00C46C22">
        <w:trPr>
          <w:trHeight w:val="284"/>
        </w:trPr>
        <w:tc>
          <w:tcPr>
            <w:tcW w:w="3512" w:type="pct"/>
            <w:vAlign w:val="center"/>
          </w:tcPr>
          <w:p w:rsidR="00F43B7C" w:rsidRPr="005E30E6" w:rsidRDefault="00F43B7C" w:rsidP="00F43B7C">
            <w:r w:rsidRPr="005E30E6">
              <w:rPr>
                <w:sz w:val="22"/>
                <w:szCs w:val="22"/>
              </w:rPr>
              <w:t>Tax rate /10%; 14.8%/</w:t>
            </w:r>
          </w:p>
        </w:tc>
        <w:tc>
          <w:tcPr>
            <w:tcW w:w="744" w:type="pct"/>
            <w:vAlign w:val="center"/>
          </w:tcPr>
          <w:p w:rsidR="00F43B7C" w:rsidRPr="00C66B91" w:rsidRDefault="00F43B7C" w:rsidP="00F43B7C">
            <w:pPr>
              <w:tabs>
                <w:tab w:val="right" w:pos="5954"/>
                <w:tab w:val="right" w:pos="7371"/>
                <w:tab w:val="right" w:pos="7937"/>
                <w:tab w:val="right" w:pos="8789"/>
                <w:tab w:val="right" w:pos="9354"/>
              </w:tabs>
              <w:ind w:right="70"/>
              <w:jc w:val="right"/>
              <w:rPr>
                <w:spacing w:val="-3"/>
                <w:sz w:val="22"/>
                <w:szCs w:val="22"/>
                <w:lang w:val="en-GB"/>
              </w:rPr>
            </w:pPr>
          </w:p>
        </w:tc>
        <w:tc>
          <w:tcPr>
            <w:tcW w:w="744" w:type="pct"/>
            <w:vAlign w:val="center"/>
          </w:tcPr>
          <w:p w:rsidR="00F43B7C" w:rsidRPr="00C66B91" w:rsidRDefault="00F43B7C" w:rsidP="00F43B7C">
            <w:pPr>
              <w:tabs>
                <w:tab w:val="right" w:pos="5954"/>
                <w:tab w:val="right" w:pos="7371"/>
                <w:tab w:val="right" w:pos="7937"/>
                <w:tab w:val="right" w:pos="8789"/>
                <w:tab w:val="right" w:pos="9354"/>
              </w:tabs>
              <w:ind w:right="70"/>
              <w:jc w:val="right"/>
              <w:rPr>
                <w:spacing w:val="-3"/>
                <w:sz w:val="22"/>
                <w:szCs w:val="22"/>
                <w:lang w:val="en-GB"/>
              </w:rPr>
            </w:pPr>
          </w:p>
        </w:tc>
      </w:tr>
      <w:tr w:rsidR="00F43B7C" w:rsidRPr="00C66B91" w:rsidTr="00C46C22">
        <w:trPr>
          <w:trHeight w:val="284"/>
        </w:trPr>
        <w:tc>
          <w:tcPr>
            <w:tcW w:w="3512" w:type="pct"/>
            <w:vAlign w:val="center"/>
          </w:tcPr>
          <w:p w:rsidR="00F43B7C" w:rsidRPr="005E30E6" w:rsidRDefault="00F43B7C" w:rsidP="00F43B7C">
            <w:pPr>
              <w:rPr>
                <w:b/>
              </w:rPr>
            </w:pPr>
            <w:r w:rsidRPr="005E30E6">
              <w:rPr>
                <w:b/>
                <w:sz w:val="22"/>
                <w:szCs w:val="22"/>
              </w:rPr>
              <w:t>Deferred taxes</w:t>
            </w:r>
          </w:p>
        </w:tc>
        <w:tc>
          <w:tcPr>
            <w:tcW w:w="744" w:type="pct"/>
            <w:vAlign w:val="center"/>
          </w:tcPr>
          <w:p w:rsidR="00F43B7C" w:rsidRPr="00C66B91" w:rsidRDefault="00F43B7C" w:rsidP="00F43B7C">
            <w:pPr>
              <w:tabs>
                <w:tab w:val="right" w:pos="5954"/>
                <w:tab w:val="right" w:pos="7371"/>
                <w:tab w:val="right" w:pos="7937"/>
                <w:tab w:val="right" w:pos="8789"/>
                <w:tab w:val="right" w:pos="9354"/>
              </w:tabs>
              <w:ind w:right="70"/>
              <w:jc w:val="right"/>
              <w:rPr>
                <w:spacing w:val="-3"/>
                <w:sz w:val="22"/>
                <w:szCs w:val="22"/>
                <w:lang w:val="en-GB"/>
              </w:rPr>
            </w:pPr>
            <w:r w:rsidRPr="00C66B91">
              <w:rPr>
                <w:spacing w:val="-3"/>
                <w:sz w:val="22"/>
                <w:szCs w:val="22"/>
                <w:lang w:val="en-GB"/>
              </w:rPr>
              <w:t>-</w:t>
            </w:r>
          </w:p>
        </w:tc>
        <w:tc>
          <w:tcPr>
            <w:tcW w:w="744" w:type="pct"/>
            <w:vAlign w:val="center"/>
          </w:tcPr>
          <w:p w:rsidR="00F43B7C" w:rsidRPr="00C66B91" w:rsidRDefault="00F43B7C" w:rsidP="00F43B7C">
            <w:pPr>
              <w:tabs>
                <w:tab w:val="right" w:pos="5954"/>
                <w:tab w:val="right" w:pos="7371"/>
                <w:tab w:val="right" w:pos="7937"/>
                <w:tab w:val="right" w:pos="8789"/>
                <w:tab w:val="right" w:pos="9354"/>
              </w:tabs>
              <w:ind w:right="70"/>
              <w:jc w:val="right"/>
              <w:rPr>
                <w:spacing w:val="-3"/>
                <w:sz w:val="22"/>
                <w:szCs w:val="22"/>
                <w:lang w:val="en-GB"/>
              </w:rPr>
            </w:pPr>
            <w:r w:rsidRPr="00C66B91">
              <w:rPr>
                <w:spacing w:val="-3"/>
                <w:sz w:val="22"/>
                <w:szCs w:val="22"/>
                <w:lang w:val="en-GB"/>
              </w:rPr>
              <w:t>-</w:t>
            </w:r>
          </w:p>
        </w:tc>
      </w:tr>
      <w:tr w:rsidR="00F43B7C" w:rsidRPr="00C66B91" w:rsidTr="00C46C22">
        <w:trPr>
          <w:trHeight w:val="284"/>
        </w:trPr>
        <w:tc>
          <w:tcPr>
            <w:tcW w:w="3512" w:type="pct"/>
            <w:vAlign w:val="center"/>
          </w:tcPr>
          <w:p w:rsidR="00F43B7C" w:rsidRPr="005E30E6" w:rsidRDefault="00F43B7C" w:rsidP="00F43B7C">
            <w:r w:rsidRPr="005E30E6">
              <w:rPr>
                <w:sz w:val="22"/>
                <w:szCs w:val="22"/>
              </w:rPr>
              <w:t>Tax rate /10%; 14.8%/</w:t>
            </w:r>
          </w:p>
        </w:tc>
        <w:tc>
          <w:tcPr>
            <w:tcW w:w="744" w:type="pct"/>
            <w:vAlign w:val="center"/>
          </w:tcPr>
          <w:p w:rsidR="00F43B7C" w:rsidRPr="00C66B91" w:rsidRDefault="00F43B7C" w:rsidP="00F43B7C">
            <w:pPr>
              <w:tabs>
                <w:tab w:val="right" w:pos="5954"/>
                <w:tab w:val="right" w:pos="7371"/>
                <w:tab w:val="right" w:pos="7937"/>
                <w:tab w:val="right" w:pos="8789"/>
                <w:tab w:val="right" w:pos="9354"/>
              </w:tabs>
              <w:ind w:right="70"/>
              <w:jc w:val="right"/>
              <w:rPr>
                <w:spacing w:val="-3"/>
                <w:sz w:val="22"/>
                <w:szCs w:val="22"/>
                <w:lang w:val="en-GB"/>
              </w:rPr>
            </w:pPr>
          </w:p>
        </w:tc>
        <w:tc>
          <w:tcPr>
            <w:tcW w:w="744" w:type="pct"/>
            <w:vAlign w:val="center"/>
          </w:tcPr>
          <w:p w:rsidR="00F43B7C" w:rsidRPr="00C66B91" w:rsidRDefault="00F43B7C" w:rsidP="00F43B7C">
            <w:pPr>
              <w:tabs>
                <w:tab w:val="right" w:pos="5954"/>
                <w:tab w:val="right" w:pos="7371"/>
                <w:tab w:val="right" w:pos="7937"/>
                <w:tab w:val="right" w:pos="8789"/>
                <w:tab w:val="right" w:pos="9354"/>
              </w:tabs>
              <w:ind w:right="70"/>
              <w:jc w:val="right"/>
              <w:rPr>
                <w:spacing w:val="-3"/>
                <w:sz w:val="22"/>
                <w:szCs w:val="22"/>
                <w:lang w:val="en-GB"/>
              </w:rPr>
            </w:pPr>
          </w:p>
        </w:tc>
      </w:tr>
      <w:tr w:rsidR="00F43B7C" w:rsidRPr="00C66B91" w:rsidTr="00C46C22">
        <w:trPr>
          <w:trHeight w:val="284"/>
        </w:trPr>
        <w:tc>
          <w:tcPr>
            <w:tcW w:w="3512" w:type="pct"/>
            <w:vAlign w:val="center"/>
          </w:tcPr>
          <w:p w:rsidR="00F43B7C" w:rsidRPr="005E30E6" w:rsidRDefault="00F43B7C" w:rsidP="00F43B7C">
            <w:r>
              <w:rPr>
                <w:b/>
                <w:sz w:val="22"/>
                <w:szCs w:val="22"/>
              </w:rPr>
              <w:t>Net</w:t>
            </w:r>
            <w:r w:rsidRPr="005E30E6">
              <w:rPr>
                <w:b/>
                <w:sz w:val="22"/>
                <w:szCs w:val="22"/>
              </w:rPr>
              <w:t xml:space="preserve"> profit</w:t>
            </w:r>
          </w:p>
        </w:tc>
        <w:tc>
          <w:tcPr>
            <w:tcW w:w="744" w:type="pct"/>
            <w:tcBorders>
              <w:top w:val="single" w:sz="4" w:space="0" w:color="auto"/>
              <w:bottom w:val="double" w:sz="6" w:space="0" w:color="auto"/>
            </w:tcBorders>
            <w:vAlign w:val="center"/>
          </w:tcPr>
          <w:p w:rsidR="00F43B7C" w:rsidRPr="00C66B91" w:rsidRDefault="00F43B7C" w:rsidP="00F43B7C">
            <w:pPr>
              <w:numPr>
                <w:ilvl w:val="12"/>
                <w:numId w:val="0"/>
              </w:numPr>
              <w:ind w:right="70"/>
              <w:jc w:val="right"/>
              <w:rPr>
                <w:b/>
                <w:sz w:val="22"/>
                <w:szCs w:val="22"/>
                <w:lang w:val="en-GB"/>
              </w:rPr>
            </w:pPr>
            <w:r w:rsidRPr="00C66B91">
              <w:rPr>
                <w:b/>
                <w:sz w:val="22"/>
                <w:szCs w:val="22"/>
                <w:lang w:val="en-GB"/>
              </w:rPr>
              <w:t>4,861</w:t>
            </w:r>
          </w:p>
        </w:tc>
        <w:tc>
          <w:tcPr>
            <w:tcW w:w="744" w:type="pct"/>
            <w:tcBorders>
              <w:top w:val="single" w:sz="4" w:space="0" w:color="auto"/>
              <w:bottom w:val="double" w:sz="6" w:space="0" w:color="auto"/>
            </w:tcBorders>
            <w:vAlign w:val="center"/>
          </w:tcPr>
          <w:p w:rsidR="00F43B7C" w:rsidRPr="00C66B91" w:rsidRDefault="00F43B7C" w:rsidP="00F43B7C">
            <w:pPr>
              <w:numPr>
                <w:ilvl w:val="12"/>
                <w:numId w:val="0"/>
              </w:numPr>
              <w:ind w:right="70"/>
              <w:jc w:val="right"/>
              <w:rPr>
                <w:b/>
                <w:sz w:val="22"/>
                <w:szCs w:val="22"/>
                <w:lang w:val="en-GB"/>
              </w:rPr>
            </w:pPr>
            <w:r w:rsidRPr="00C66B91">
              <w:rPr>
                <w:b/>
                <w:sz w:val="22"/>
                <w:szCs w:val="22"/>
                <w:lang w:val="en-GB"/>
              </w:rPr>
              <w:t>4,003</w:t>
            </w:r>
          </w:p>
        </w:tc>
      </w:tr>
    </w:tbl>
    <w:p w:rsidR="00E922D1" w:rsidRPr="00C66B91" w:rsidRDefault="00E922D1" w:rsidP="00E922D1">
      <w:pPr>
        <w:autoSpaceDE w:val="0"/>
        <w:autoSpaceDN w:val="0"/>
        <w:adjustRightInd w:val="0"/>
        <w:rPr>
          <w:sz w:val="22"/>
          <w:szCs w:val="22"/>
          <w:lang w:val="en-GB"/>
        </w:rPr>
      </w:pPr>
    </w:p>
    <w:p w:rsidR="00E922D1" w:rsidRPr="00C66B91" w:rsidRDefault="00E922D1" w:rsidP="00E922D1">
      <w:pPr>
        <w:ind w:right="-75"/>
        <w:jc w:val="both"/>
        <w:rPr>
          <w:color w:val="241E1C"/>
          <w:sz w:val="22"/>
          <w:szCs w:val="22"/>
          <w:lang w:val="en-GB"/>
        </w:rPr>
      </w:pPr>
    </w:p>
    <w:p w:rsidR="00E922D1" w:rsidRPr="00C66B91" w:rsidRDefault="00E922D1" w:rsidP="00E922D1">
      <w:pPr>
        <w:numPr>
          <w:ilvl w:val="12"/>
          <w:numId w:val="0"/>
        </w:numPr>
        <w:jc w:val="both"/>
        <w:rPr>
          <w:b/>
          <w:sz w:val="22"/>
          <w:szCs w:val="22"/>
          <w:lang w:val="en-GB"/>
        </w:rPr>
      </w:pPr>
    </w:p>
    <w:p w:rsidR="00287BDD" w:rsidRPr="005E30E6" w:rsidRDefault="00287BDD" w:rsidP="00287BDD">
      <w:pPr>
        <w:numPr>
          <w:ilvl w:val="12"/>
          <w:numId w:val="0"/>
        </w:numPr>
        <w:jc w:val="both"/>
        <w:rPr>
          <w:b/>
          <w:caps/>
          <w:sz w:val="22"/>
          <w:szCs w:val="22"/>
        </w:rPr>
      </w:pPr>
      <w:r w:rsidRPr="005E30E6">
        <w:rPr>
          <w:b/>
          <w:sz w:val="22"/>
          <w:szCs w:val="22"/>
        </w:rPr>
        <w:t xml:space="preserve">22.      </w:t>
      </w:r>
      <w:r w:rsidRPr="005E30E6">
        <w:rPr>
          <w:b/>
          <w:caps/>
          <w:sz w:val="22"/>
          <w:szCs w:val="22"/>
        </w:rPr>
        <w:t>EARNINGS PER SHARE AND DIVIDENDS</w:t>
      </w:r>
    </w:p>
    <w:p w:rsidR="00287BDD" w:rsidRPr="005E30E6" w:rsidRDefault="00287BDD" w:rsidP="00287BDD">
      <w:pPr>
        <w:pStyle w:val="BodyText"/>
        <w:rPr>
          <w:b/>
          <w:sz w:val="22"/>
          <w:szCs w:val="22"/>
        </w:rPr>
      </w:pPr>
    </w:p>
    <w:p w:rsidR="00287BDD" w:rsidRPr="005E30E6" w:rsidRDefault="00287BDD" w:rsidP="00287BDD">
      <w:pPr>
        <w:pStyle w:val="BodyText"/>
        <w:rPr>
          <w:b/>
          <w:sz w:val="22"/>
          <w:szCs w:val="22"/>
        </w:rPr>
      </w:pPr>
      <w:r w:rsidRPr="005E30E6">
        <w:rPr>
          <w:b/>
          <w:sz w:val="22"/>
          <w:szCs w:val="22"/>
        </w:rPr>
        <w:t>22.1 Earnings per share</w:t>
      </w:r>
    </w:p>
    <w:p w:rsidR="00287BDD" w:rsidRPr="005E30E6" w:rsidRDefault="00287BDD" w:rsidP="00287BDD">
      <w:pPr>
        <w:pStyle w:val="BodyText"/>
        <w:rPr>
          <w:sz w:val="22"/>
          <w:szCs w:val="22"/>
        </w:rPr>
      </w:pPr>
    </w:p>
    <w:p w:rsidR="00287BDD" w:rsidRPr="005E30E6" w:rsidRDefault="00287BDD" w:rsidP="00287BDD">
      <w:pPr>
        <w:pStyle w:val="BodyText"/>
        <w:rPr>
          <w:sz w:val="22"/>
          <w:szCs w:val="22"/>
        </w:rPr>
      </w:pPr>
      <w:r w:rsidRPr="005E30E6">
        <w:rPr>
          <w:sz w:val="22"/>
          <w:szCs w:val="22"/>
        </w:rPr>
        <w:t xml:space="preserve">The earnings per share are calculated using as numerator the net profit, </w:t>
      </w:r>
      <w:r>
        <w:rPr>
          <w:sz w:val="22"/>
          <w:szCs w:val="22"/>
        </w:rPr>
        <w:t xml:space="preserve">distributable to </w:t>
      </w:r>
      <w:r w:rsidRPr="005E30E6">
        <w:rPr>
          <w:sz w:val="22"/>
          <w:szCs w:val="22"/>
        </w:rPr>
        <w:t>shareholders of the Parent Company.</w:t>
      </w:r>
    </w:p>
    <w:p w:rsidR="00287BDD" w:rsidRPr="005E30E6" w:rsidRDefault="00287BDD" w:rsidP="00287BDD">
      <w:pPr>
        <w:pStyle w:val="BodyText"/>
        <w:rPr>
          <w:sz w:val="22"/>
          <w:szCs w:val="22"/>
        </w:rPr>
      </w:pPr>
    </w:p>
    <w:p w:rsidR="00287BDD" w:rsidRPr="005E30E6" w:rsidRDefault="00287BDD" w:rsidP="00287BDD">
      <w:pPr>
        <w:pStyle w:val="BodyText"/>
        <w:rPr>
          <w:sz w:val="22"/>
          <w:szCs w:val="22"/>
        </w:rPr>
      </w:pPr>
      <w:r w:rsidRPr="005E30E6">
        <w:rPr>
          <w:sz w:val="22"/>
          <w:szCs w:val="22"/>
        </w:rPr>
        <w:t>The weighted-average number of shares, used for the calculation of the earnings per share, as well as the net profit, which is subject to distribution, is presented as follows:</w:t>
      </w:r>
    </w:p>
    <w:p w:rsidR="00E922D1" w:rsidRPr="00C66B91" w:rsidRDefault="00E922D1" w:rsidP="00E922D1">
      <w:pPr>
        <w:pStyle w:val="BodyText"/>
        <w:rPr>
          <w:sz w:val="22"/>
          <w:szCs w:val="22"/>
          <w:lang w:val="en-GB"/>
        </w:rPr>
      </w:pPr>
    </w:p>
    <w:tbl>
      <w:tblPr>
        <w:tblW w:w="5128" w:type="pct"/>
        <w:tblInd w:w="-108" w:type="dxa"/>
        <w:tblLook w:val="0000" w:firstRow="0" w:lastRow="0" w:firstColumn="0" w:lastColumn="0" w:noHBand="0" w:noVBand="0"/>
      </w:tblPr>
      <w:tblGrid>
        <w:gridCol w:w="6346"/>
        <w:gridCol w:w="1615"/>
        <w:gridCol w:w="1361"/>
      </w:tblGrid>
      <w:tr w:rsidR="0062697D" w:rsidRPr="00C66B91" w:rsidTr="0062697D">
        <w:trPr>
          <w:trHeight w:val="227"/>
        </w:trPr>
        <w:tc>
          <w:tcPr>
            <w:tcW w:w="3404" w:type="pct"/>
            <w:vAlign w:val="center"/>
          </w:tcPr>
          <w:p w:rsidR="0062697D" w:rsidRPr="00C66B91" w:rsidRDefault="0062697D" w:rsidP="00911666">
            <w:pPr>
              <w:rPr>
                <w:sz w:val="22"/>
                <w:szCs w:val="22"/>
                <w:lang w:val="en-GB"/>
              </w:rPr>
            </w:pPr>
          </w:p>
        </w:tc>
        <w:tc>
          <w:tcPr>
            <w:tcW w:w="866" w:type="pct"/>
            <w:tcBorders>
              <w:top w:val="nil"/>
              <w:left w:val="nil"/>
              <w:right w:val="nil"/>
            </w:tcBorders>
            <w:vAlign w:val="center"/>
          </w:tcPr>
          <w:p w:rsidR="0062697D" w:rsidRPr="00C66B91" w:rsidRDefault="008A588E" w:rsidP="00911666">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62697D" w:rsidRPr="00C66B91">
              <w:rPr>
                <w:b/>
                <w:sz w:val="22"/>
                <w:szCs w:val="22"/>
                <w:lang w:val="en-GB"/>
              </w:rPr>
              <w:t>.2015</w:t>
            </w:r>
          </w:p>
          <w:p w:rsidR="0062697D" w:rsidRPr="00C66B91" w:rsidRDefault="0062697D" w:rsidP="00911666">
            <w:pPr>
              <w:autoSpaceDE w:val="0"/>
              <w:autoSpaceDN w:val="0"/>
              <w:adjustRightInd w:val="0"/>
              <w:jc w:val="center"/>
              <w:rPr>
                <w:b/>
                <w:sz w:val="22"/>
                <w:szCs w:val="22"/>
                <w:lang w:val="en-GB"/>
              </w:rPr>
            </w:pPr>
            <w:r w:rsidRPr="00C66B91">
              <w:rPr>
                <w:b/>
                <w:sz w:val="22"/>
                <w:szCs w:val="22"/>
                <w:lang w:val="en-GB"/>
              </w:rPr>
              <w:t>BGN’000</w:t>
            </w:r>
          </w:p>
        </w:tc>
        <w:tc>
          <w:tcPr>
            <w:tcW w:w="730" w:type="pct"/>
            <w:tcBorders>
              <w:top w:val="nil"/>
              <w:left w:val="nil"/>
              <w:right w:val="nil"/>
            </w:tcBorders>
            <w:vAlign w:val="center"/>
          </w:tcPr>
          <w:p w:rsidR="0062697D" w:rsidRPr="00C66B91" w:rsidRDefault="008A588E" w:rsidP="00911666">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62697D" w:rsidRPr="00C66B91">
              <w:rPr>
                <w:b/>
                <w:sz w:val="22"/>
                <w:szCs w:val="22"/>
                <w:lang w:val="en-GB"/>
              </w:rPr>
              <w:t>.2014</w:t>
            </w:r>
          </w:p>
          <w:p w:rsidR="0062697D" w:rsidRPr="00C66B91" w:rsidRDefault="0062697D" w:rsidP="00911666">
            <w:pPr>
              <w:autoSpaceDE w:val="0"/>
              <w:autoSpaceDN w:val="0"/>
              <w:adjustRightInd w:val="0"/>
              <w:jc w:val="center"/>
              <w:rPr>
                <w:b/>
                <w:sz w:val="22"/>
                <w:szCs w:val="22"/>
                <w:lang w:val="en-GB"/>
              </w:rPr>
            </w:pPr>
            <w:r w:rsidRPr="00C66B91">
              <w:rPr>
                <w:b/>
                <w:sz w:val="22"/>
                <w:szCs w:val="22"/>
                <w:lang w:val="en-GB"/>
              </w:rPr>
              <w:t>BGN’000</w:t>
            </w:r>
          </w:p>
        </w:tc>
      </w:tr>
      <w:tr w:rsidR="0062697D" w:rsidRPr="00C66B91" w:rsidTr="0062697D">
        <w:trPr>
          <w:trHeight w:val="227"/>
        </w:trPr>
        <w:tc>
          <w:tcPr>
            <w:tcW w:w="3404" w:type="pct"/>
            <w:vAlign w:val="center"/>
          </w:tcPr>
          <w:p w:rsidR="0062697D" w:rsidRPr="00C66B91" w:rsidRDefault="0062697D" w:rsidP="00911666">
            <w:pPr>
              <w:rPr>
                <w:sz w:val="22"/>
                <w:szCs w:val="22"/>
                <w:lang w:val="en-GB"/>
              </w:rPr>
            </w:pPr>
          </w:p>
        </w:tc>
        <w:tc>
          <w:tcPr>
            <w:tcW w:w="866" w:type="pct"/>
            <w:tcBorders>
              <w:top w:val="nil"/>
              <w:left w:val="nil"/>
              <w:right w:val="nil"/>
            </w:tcBorders>
            <w:tcMar>
              <w:right w:w="340" w:type="dxa"/>
            </w:tcMar>
            <w:vAlign w:val="center"/>
          </w:tcPr>
          <w:p w:rsidR="0062697D" w:rsidRPr="00C66B91" w:rsidRDefault="0062697D" w:rsidP="00911666">
            <w:pPr>
              <w:jc w:val="right"/>
              <w:rPr>
                <w:sz w:val="22"/>
                <w:szCs w:val="22"/>
                <w:lang w:val="en-GB"/>
              </w:rPr>
            </w:pPr>
          </w:p>
        </w:tc>
        <w:tc>
          <w:tcPr>
            <w:tcW w:w="730" w:type="pct"/>
            <w:tcBorders>
              <w:top w:val="nil"/>
              <w:left w:val="nil"/>
              <w:right w:val="nil"/>
            </w:tcBorders>
            <w:vAlign w:val="center"/>
          </w:tcPr>
          <w:p w:rsidR="0062697D" w:rsidRPr="00C66B91" w:rsidRDefault="0062697D" w:rsidP="00911666">
            <w:pPr>
              <w:jc w:val="right"/>
              <w:rPr>
                <w:sz w:val="22"/>
                <w:szCs w:val="22"/>
                <w:lang w:val="en-GB"/>
              </w:rPr>
            </w:pPr>
          </w:p>
        </w:tc>
      </w:tr>
      <w:tr w:rsidR="0062697D" w:rsidRPr="00C66B91" w:rsidTr="0062697D">
        <w:trPr>
          <w:trHeight w:val="227"/>
        </w:trPr>
        <w:tc>
          <w:tcPr>
            <w:tcW w:w="3404" w:type="pct"/>
            <w:vAlign w:val="center"/>
          </w:tcPr>
          <w:p w:rsidR="0062697D" w:rsidRPr="00C66B91" w:rsidRDefault="00287BDD" w:rsidP="00911666">
            <w:pPr>
              <w:rPr>
                <w:sz w:val="22"/>
                <w:szCs w:val="22"/>
                <w:lang w:val="en-GB"/>
              </w:rPr>
            </w:pPr>
            <w:r>
              <w:rPr>
                <w:sz w:val="22"/>
                <w:szCs w:val="22"/>
                <w:lang w:val="en-GB"/>
              </w:rPr>
              <w:t>Distributable profit</w:t>
            </w:r>
            <w:r w:rsidR="0062697D" w:rsidRPr="00C66B91">
              <w:rPr>
                <w:sz w:val="22"/>
                <w:szCs w:val="22"/>
                <w:lang w:val="en-GB"/>
              </w:rPr>
              <w:t xml:space="preserve"> </w:t>
            </w:r>
          </w:p>
        </w:tc>
        <w:tc>
          <w:tcPr>
            <w:tcW w:w="866" w:type="pct"/>
            <w:tcBorders>
              <w:top w:val="nil"/>
              <w:left w:val="nil"/>
              <w:right w:val="nil"/>
            </w:tcBorders>
            <w:tcMar>
              <w:right w:w="284" w:type="dxa"/>
            </w:tcMar>
            <w:vAlign w:val="center"/>
          </w:tcPr>
          <w:p w:rsidR="0062697D" w:rsidRPr="00C66B91" w:rsidRDefault="00301728" w:rsidP="00301728">
            <w:pPr>
              <w:jc w:val="right"/>
              <w:rPr>
                <w:sz w:val="22"/>
                <w:szCs w:val="22"/>
                <w:lang w:val="en-GB"/>
              </w:rPr>
            </w:pPr>
            <w:r w:rsidRPr="00C66B91">
              <w:rPr>
                <w:sz w:val="22"/>
                <w:szCs w:val="22"/>
                <w:lang w:val="en-GB"/>
              </w:rPr>
              <w:t>4</w:t>
            </w:r>
            <w:r w:rsidR="0062697D" w:rsidRPr="00C66B91">
              <w:rPr>
                <w:sz w:val="22"/>
                <w:szCs w:val="22"/>
                <w:lang w:val="en-GB"/>
              </w:rPr>
              <w:t>,8</w:t>
            </w:r>
            <w:r w:rsidRPr="00C66B91">
              <w:rPr>
                <w:sz w:val="22"/>
                <w:szCs w:val="22"/>
                <w:lang w:val="en-GB"/>
              </w:rPr>
              <w:t>61</w:t>
            </w:r>
          </w:p>
        </w:tc>
        <w:tc>
          <w:tcPr>
            <w:tcW w:w="730" w:type="pct"/>
            <w:tcBorders>
              <w:top w:val="nil"/>
              <w:left w:val="nil"/>
              <w:right w:val="nil"/>
            </w:tcBorders>
            <w:tcMar>
              <w:right w:w="284" w:type="dxa"/>
            </w:tcMar>
            <w:vAlign w:val="center"/>
          </w:tcPr>
          <w:p w:rsidR="0062697D" w:rsidRPr="00C66B91" w:rsidRDefault="00301728" w:rsidP="00301728">
            <w:pPr>
              <w:jc w:val="right"/>
              <w:rPr>
                <w:sz w:val="22"/>
                <w:szCs w:val="22"/>
                <w:lang w:val="en-GB"/>
              </w:rPr>
            </w:pPr>
            <w:r w:rsidRPr="00C66B91">
              <w:rPr>
                <w:sz w:val="22"/>
                <w:szCs w:val="22"/>
                <w:lang w:val="en-GB"/>
              </w:rPr>
              <w:t>4</w:t>
            </w:r>
            <w:r w:rsidR="0062697D" w:rsidRPr="00C66B91">
              <w:rPr>
                <w:sz w:val="22"/>
                <w:szCs w:val="22"/>
                <w:lang w:val="en-GB"/>
              </w:rPr>
              <w:t>,</w:t>
            </w:r>
            <w:r w:rsidRPr="00C66B91">
              <w:rPr>
                <w:sz w:val="22"/>
                <w:szCs w:val="22"/>
                <w:lang w:val="en-GB"/>
              </w:rPr>
              <w:t>0</w:t>
            </w:r>
            <w:r w:rsidR="0062697D" w:rsidRPr="00C66B91">
              <w:rPr>
                <w:sz w:val="22"/>
                <w:szCs w:val="22"/>
                <w:lang w:val="en-GB"/>
              </w:rPr>
              <w:t>03</w:t>
            </w:r>
          </w:p>
        </w:tc>
      </w:tr>
      <w:tr w:rsidR="00287BDD" w:rsidRPr="00C66B91" w:rsidTr="0062697D">
        <w:trPr>
          <w:trHeight w:val="227"/>
        </w:trPr>
        <w:tc>
          <w:tcPr>
            <w:tcW w:w="3404" w:type="pct"/>
            <w:vAlign w:val="center"/>
          </w:tcPr>
          <w:p w:rsidR="00287BDD" w:rsidRPr="005E30E6" w:rsidRDefault="00287BDD" w:rsidP="00287BDD">
            <w:pPr>
              <w:rPr>
                <w:sz w:val="22"/>
                <w:szCs w:val="22"/>
              </w:rPr>
            </w:pPr>
            <w:r w:rsidRPr="005E30E6">
              <w:rPr>
                <w:sz w:val="22"/>
                <w:szCs w:val="22"/>
              </w:rPr>
              <w:t>Weighted-average number of shares</w:t>
            </w:r>
          </w:p>
        </w:tc>
        <w:tc>
          <w:tcPr>
            <w:tcW w:w="866" w:type="pct"/>
            <w:tcBorders>
              <w:top w:val="nil"/>
              <w:left w:val="nil"/>
              <w:right w:val="nil"/>
            </w:tcBorders>
            <w:tcMar>
              <w:right w:w="284" w:type="dxa"/>
            </w:tcMar>
            <w:vAlign w:val="center"/>
          </w:tcPr>
          <w:p w:rsidR="00287BDD" w:rsidRPr="00C66B91" w:rsidRDefault="00287BDD" w:rsidP="00287BDD">
            <w:pPr>
              <w:jc w:val="right"/>
              <w:rPr>
                <w:sz w:val="22"/>
                <w:szCs w:val="22"/>
                <w:lang w:val="en-GB"/>
              </w:rPr>
            </w:pPr>
            <w:r w:rsidRPr="00C66B91">
              <w:rPr>
                <w:sz w:val="22"/>
                <w:szCs w:val="22"/>
                <w:lang w:val="en-GB"/>
              </w:rPr>
              <w:t>5,335,919</w:t>
            </w:r>
          </w:p>
        </w:tc>
        <w:tc>
          <w:tcPr>
            <w:tcW w:w="730" w:type="pct"/>
            <w:tcBorders>
              <w:top w:val="nil"/>
              <w:left w:val="nil"/>
              <w:right w:val="nil"/>
            </w:tcBorders>
            <w:tcMar>
              <w:right w:w="284" w:type="dxa"/>
            </w:tcMar>
            <w:vAlign w:val="center"/>
          </w:tcPr>
          <w:p w:rsidR="00287BDD" w:rsidRPr="00C66B91" w:rsidRDefault="00287BDD" w:rsidP="00287BDD">
            <w:pPr>
              <w:jc w:val="right"/>
              <w:rPr>
                <w:sz w:val="22"/>
                <w:szCs w:val="22"/>
                <w:lang w:val="en-GB"/>
              </w:rPr>
            </w:pPr>
            <w:r w:rsidRPr="00C66B91">
              <w:rPr>
                <w:sz w:val="22"/>
                <w:szCs w:val="22"/>
                <w:lang w:val="en-GB"/>
              </w:rPr>
              <w:t>4,446,600</w:t>
            </w:r>
          </w:p>
        </w:tc>
      </w:tr>
      <w:tr w:rsidR="00287BDD" w:rsidRPr="00C66B91" w:rsidTr="0062697D">
        <w:trPr>
          <w:trHeight w:val="227"/>
        </w:trPr>
        <w:tc>
          <w:tcPr>
            <w:tcW w:w="3404" w:type="pct"/>
            <w:vAlign w:val="center"/>
          </w:tcPr>
          <w:p w:rsidR="00287BDD" w:rsidRPr="005E30E6" w:rsidRDefault="00287BDD" w:rsidP="00287BDD">
            <w:pPr>
              <w:rPr>
                <w:b/>
                <w:sz w:val="22"/>
                <w:szCs w:val="22"/>
              </w:rPr>
            </w:pPr>
            <w:r w:rsidRPr="005E30E6">
              <w:rPr>
                <w:b/>
                <w:sz w:val="22"/>
                <w:szCs w:val="22"/>
              </w:rPr>
              <w:t>Earnings per share /in BGN/</w:t>
            </w:r>
          </w:p>
        </w:tc>
        <w:tc>
          <w:tcPr>
            <w:tcW w:w="866" w:type="pct"/>
            <w:tcBorders>
              <w:top w:val="single" w:sz="4" w:space="0" w:color="auto"/>
              <w:left w:val="nil"/>
              <w:bottom w:val="double" w:sz="4" w:space="0" w:color="auto"/>
              <w:right w:val="nil"/>
            </w:tcBorders>
            <w:tcMar>
              <w:right w:w="284" w:type="dxa"/>
            </w:tcMar>
            <w:vAlign w:val="center"/>
          </w:tcPr>
          <w:p w:rsidR="00287BDD" w:rsidRPr="00C66B91" w:rsidRDefault="00287BDD" w:rsidP="00287BDD">
            <w:pPr>
              <w:jc w:val="right"/>
              <w:rPr>
                <w:b/>
                <w:color w:val="000000"/>
                <w:sz w:val="22"/>
                <w:szCs w:val="22"/>
                <w:lang w:val="en-GB"/>
              </w:rPr>
            </w:pPr>
            <w:r w:rsidRPr="00C66B91">
              <w:rPr>
                <w:b/>
                <w:color w:val="000000"/>
                <w:sz w:val="22"/>
                <w:szCs w:val="22"/>
                <w:lang w:val="en-GB"/>
              </w:rPr>
              <w:t>0.91</w:t>
            </w:r>
          </w:p>
        </w:tc>
        <w:tc>
          <w:tcPr>
            <w:tcW w:w="730" w:type="pct"/>
            <w:tcBorders>
              <w:top w:val="single" w:sz="4" w:space="0" w:color="auto"/>
              <w:left w:val="nil"/>
              <w:bottom w:val="double" w:sz="4" w:space="0" w:color="auto"/>
              <w:right w:val="nil"/>
            </w:tcBorders>
            <w:tcMar>
              <w:right w:w="284" w:type="dxa"/>
            </w:tcMar>
            <w:vAlign w:val="center"/>
          </w:tcPr>
          <w:p w:rsidR="00287BDD" w:rsidRPr="00C66B91" w:rsidRDefault="00287BDD" w:rsidP="00287BDD">
            <w:pPr>
              <w:jc w:val="right"/>
              <w:rPr>
                <w:b/>
                <w:color w:val="000000"/>
                <w:sz w:val="22"/>
                <w:szCs w:val="22"/>
                <w:lang w:val="en-GB"/>
              </w:rPr>
            </w:pPr>
            <w:r w:rsidRPr="00C66B91">
              <w:rPr>
                <w:b/>
                <w:color w:val="000000"/>
                <w:sz w:val="22"/>
                <w:szCs w:val="22"/>
                <w:lang w:val="en-GB"/>
              </w:rPr>
              <w:t>0.90</w:t>
            </w:r>
          </w:p>
        </w:tc>
      </w:tr>
    </w:tbl>
    <w:p w:rsidR="00E922D1" w:rsidRPr="00C66B91" w:rsidRDefault="00E922D1" w:rsidP="00E922D1">
      <w:pPr>
        <w:pStyle w:val="BodyText"/>
        <w:rPr>
          <w:sz w:val="22"/>
          <w:szCs w:val="22"/>
          <w:lang w:val="en-GB"/>
        </w:rPr>
      </w:pPr>
    </w:p>
    <w:p w:rsidR="00E922D1" w:rsidRPr="00C66B91" w:rsidRDefault="00E922D1" w:rsidP="00E922D1">
      <w:pPr>
        <w:pStyle w:val="BodyText"/>
        <w:rPr>
          <w:sz w:val="22"/>
          <w:szCs w:val="22"/>
          <w:lang w:val="en-GB"/>
        </w:rPr>
      </w:pPr>
    </w:p>
    <w:p w:rsidR="00287BDD" w:rsidRPr="005E30E6" w:rsidRDefault="00287BDD" w:rsidP="00287BDD">
      <w:pPr>
        <w:pStyle w:val="BodyText"/>
        <w:rPr>
          <w:sz w:val="22"/>
          <w:szCs w:val="22"/>
        </w:rPr>
      </w:pPr>
    </w:p>
    <w:p w:rsidR="00287BDD" w:rsidRPr="005E30E6" w:rsidRDefault="00287BDD" w:rsidP="00287BDD">
      <w:pPr>
        <w:numPr>
          <w:ilvl w:val="12"/>
          <w:numId w:val="0"/>
        </w:numPr>
        <w:jc w:val="both"/>
        <w:rPr>
          <w:b/>
          <w:caps/>
          <w:sz w:val="22"/>
          <w:szCs w:val="22"/>
        </w:rPr>
      </w:pPr>
      <w:r w:rsidRPr="005E30E6">
        <w:rPr>
          <w:b/>
          <w:sz w:val="22"/>
          <w:szCs w:val="22"/>
        </w:rPr>
        <w:t xml:space="preserve">23.      </w:t>
      </w:r>
      <w:r w:rsidRPr="005E30E6">
        <w:rPr>
          <w:b/>
          <w:caps/>
          <w:sz w:val="22"/>
          <w:szCs w:val="22"/>
        </w:rPr>
        <w:t xml:space="preserve">RELATED PARTIES </w:t>
      </w:r>
      <w:r>
        <w:rPr>
          <w:b/>
          <w:caps/>
          <w:sz w:val="22"/>
          <w:szCs w:val="22"/>
        </w:rPr>
        <w:t>TRANSACTIONS</w:t>
      </w:r>
    </w:p>
    <w:p w:rsidR="00287BDD" w:rsidRPr="005E30E6" w:rsidRDefault="00287BDD" w:rsidP="00287BDD">
      <w:pPr>
        <w:pStyle w:val="BodyText"/>
        <w:rPr>
          <w:sz w:val="22"/>
          <w:szCs w:val="22"/>
        </w:rPr>
      </w:pPr>
    </w:p>
    <w:p w:rsidR="00287BDD" w:rsidRPr="005E30E6" w:rsidRDefault="00287BDD" w:rsidP="00287BDD">
      <w:pPr>
        <w:jc w:val="both"/>
        <w:rPr>
          <w:bCs/>
          <w:sz w:val="22"/>
          <w:szCs w:val="22"/>
        </w:rPr>
      </w:pPr>
      <w:r w:rsidRPr="005E30E6">
        <w:rPr>
          <w:bCs/>
          <w:sz w:val="22"/>
          <w:szCs w:val="22"/>
        </w:rPr>
        <w:t xml:space="preserve">If </w:t>
      </w:r>
      <w:r>
        <w:rPr>
          <w:bCs/>
          <w:sz w:val="22"/>
          <w:szCs w:val="22"/>
        </w:rPr>
        <w:t>not expressed</w:t>
      </w:r>
      <w:r w:rsidRPr="005E30E6">
        <w:rPr>
          <w:bCs/>
          <w:sz w:val="22"/>
          <w:szCs w:val="22"/>
        </w:rPr>
        <w:t xml:space="preserve"> </w:t>
      </w:r>
      <w:r>
        <w:rPr>
          <w:bCs/>
          <w:sz w:val="22"/>
          <w:szCs w:val="22"/>
        </w:rPr>
        <w:t>explicitly</w:t>
      </w:r>
      <w:r w:rsidRPr="005E30E6">
        <w:rPr>
          <w:bCs/>
          <w:sz w:val="22"/>
          <w:szCs w:val="22"/>
        </w:rPr>
        <w:t xml:space="preserve">, the transactions with related parties are not carried out under special conditions and no guarantees were either granted or received. The </w:t>
      </w:r>
      <w:r>
        <w:rPr>
          <w:bCs/>
          <w:sz w:val="22"/>
          <w:szCs w:val="22"/>
        </w:rPr>
        <w:t>recorded</w:t>
      </w:r>
      <w:r w:rsidRPr="005E30E6">
        <w:rPr>
          <w:bCs/>
          <w:sz w:val="22"/>
          <w:szCs w:val="22"/>
        </w:rPr>
        <w:t xml:space="preserve"> </w:t>
      </w:r>
      <w:r>
        <w:rPr>
          <w:bCs/>
          <w:sz w:val="22"/>
          <w:szCs w:val="22"/>
        </w:rPr>
        <w:t xml:space="preserve">amounts </w:t>
      </w:r>
      <w:r w:rsidRPr="005E30E6">
        <w:rPr>
          <w:bCs/>
          <w:sz w:val="22"/>
          <w:szCs w:val="22"/>
        </w:rPr>
        <w:t xml:space="preserve">are paid by </w:t>
      </w:r>
      <w:r>
        <w:rPr>
          <w:bCs/>
          <w:sz w:val="22"/>
          <w:szCs w:val="22"/>
        </w:rPr>
        <w:t>wire</w:t>
      </w:r>
      <w:r w:rsidRPr="005E30E6">
        <w:rPr>
          <w:bCs/>
          <w:sz w:val="22"/>
          <w:szCs w:val="22"/>
        </w:rPr>
        <w:t>.</w:t>
      </w:r>
    </w:p>
    <w:p w:rsidR="00E922D1" w:rsidRPr="00C66B91" w:rsidRDefault="00E922D1" w:rsidP="00E922D1">
      <w:pPr>
        <w:rPr>
          <w:sz w:val="22"/>
          <w:szCs w:val="22"/>
          <w:lang w:val="en-GB"/>
        </w:rPr>
      </w:pPr>
    </w:p>
    <w:tbl>
      <w:tblPr>
        <w:tblW w:w="9360" w:type="dxa"/>
        <w:tblInd w:w="70" w:type="dxa"/>
        <w:tblCellMar>
          <w:left w:w="70" w:type="dxa"/>
          <w:right w:w="70" w:type="dxa"/>
        </w:tblCellMar>
        <w:tblLook w:val="00A0" w:firstRow="1" w:lastRow="0" w:firstColumn="1" w:lastColumn="0" w:noHBand="0" w:noVBand="0"/>
      </w:tblPr>
      <w:tblGrid>
        <w:gridCol w:w="5310"/>
        <w:gridCol w:w="4050"/>
      </w:tblGrid>
      <w:tr w:rsidR="00287BDD" w:rsidRPr="00C66B91" w:rsidTr="00C46C22">
        <w:trPr>
          <w:trHeight w:val="319"/>
        </w:trPr>
        <w:tc>
          <w:tcPr>
            <w:tcW w:w="5310" w:type="dxa"/>
            <w:tcBorders>
              <w:top w:val="nil"/>
              <w:left w:val="nil"/>
              <w:bottom w:val="nil"/>
              <w:right w:val="nil"/>
            </w:tcBorders>
            <w:noWrap/>
            <w:vAlign w:val="center"/>
          </w:tcPr>
          <w:p w:rsidR="00287BDD" w:rsidRPr="005E30E6" w:rsidRDefault="00287BDD" w:rsidP="00287BDD">
            <w:pPr>
              <w:rPr>
                <w:b/>
                <w:bCs/>
                <w:color w:val="000000"/>
                <w:sz w:val="22"/>
                <w:szCs w:val="22"/>
                <w:lang w:eastAsia="bg-BG"/>
              </w:rPr>
            </w:pPr>
            <w:r w:rsidRPr="005E30E6">
              <w:rPr>
                <w:b/>
                <w:bCs/>
                <w:color w:val="000000"/>
                <w:sz w:val="22"/>
                <w:szCs w:val="22"/>
                <w:lang w:eastAsia="bg-BG"/>
              </w:rPr>
              <w:t>Related party</w:t>
            </w:r>
          </w:p>
        </w:tc>
        <w:tc>
          <w:tcPr>
            <w:tcW w:w="4050" w:type="dxa"/>
            <w:tcBorders>
              <w:top w:val="nil"/>
              <w:left w:val="nil"/>
              <w:right w:val="nil"/>
            </w:tcBorders>
            <w:vAlign w:val="center"/>
          </w:tcPr>
          <w:p w:rsidR="00287BDD" w:rsidRPr="005E30E6" w:rsidRDefault="00287BDD" w:rsidP="00287BDD">
            <w:pPr>
              <w:rPr>
                <w:b/>
                <w:bCs/>
                <w:color w:val="000000"/>
                <w:sz w:val="22"/>
                <w:szCs w:val="22"/>
                <w:lang w:eastAsia="bg-BG"/>
              </w:rPr>
            </w:pPr>
            <w:r w:rsidRPr="005E30E6">
              <w:rPr>
                <w:b/>
                <w:bCs/>
                <w:color w:val="000000"/>
                <w:sz w:val="22"/>
                <w:szCs w:val="22"/>
                <w:lang w:eastAsia="bg-BG"/>
              </w:rPr>
              <w:t>Type of relationship</w:t>
            </w:r>
          </w:p>
        </w:tc>
      </w:tr>
      <w:tr w:rsidR="00287BDD" w:rsidRPr="00C66B91" w:rsidTr="00C46C22">
        <w:trPr>
          <w:trHeight w:val="305"/>
        </w:trPr>
        <w:tc>
          <w:tcPr>
            <w:tcW w:w="5310" w:type="dxa"/>
            <w:tcBorders>
              <w:top w:val="nil"/>
              <w:left w:val="nil"/>
              <w:bottom w:val="nil"/>
              <w:right w:val="nil"/>
            </w:tcBorders>
            <w:noWrap/>
            <w:vAlign w:val="bottom"/>
          </w:tcPr>
          <w:p w:rsidR="00287BDD" w:rsidRPr="005E30E6" w:rsidRDefault="00287BDD" w:rsidP="00287BDD">
            <w:pPr>
              <w:rPr>
                <w:b/>
                <w:bCs/>
                <w:color w:val="000000"/>
                <w:sz w:val="22"/>
                <w:szCs w:val="22"/>
                <w:lang w:eastAsia="bg-BG"/>
              </w:rPr>
            </w:pPr>
          </w:p>
        </w:tc>
        <w:tc>
          <w:tcPr>
            <w:tcW w:w="4050" w:type="dxa"/>
            <w:tcBorders>
              <w:top w:val="nil"/>
              <w:left w:val="nil"/>
              <w:bottom w:val="nil"/>
              <w:right w:val="nil"/>
            </w:tcBorders>
            <w:noWrap/>
            <w:vAlign w:val="bottom"/>
          </w:tcPr>
          <w:p w:rsidR="00287BDD" w:rsidRPr="005E30E6" w:rsidRDefault="00287BDD" w:rsidP="00287BDD">
            <w:pPr>
              <w:jc w:val="center"/>
              <w:rPr>
                <w:bCs/>
                <w:color w:val="000000"/>
                <w:sz w:val="22"/>
                <w:szCs w:val="22"/>
                <w:lang w:eastAsia="bg-BG"/>
              </w:rPr>
            </w:pPr>
          </w:p>
        </w:tc>
      </w:tr>
      <w:tr w:rsidR="00287BDD" w:rsidRPr="00C66B91" w:rsidTr="00C46C22">
        <w:trPr>
          <w:trHeight w:val="305"/>
        </w:trPr>
        <w:tc>
          <w:tcPr>
            <w:tcW w:w="5310" w:type="dxa"/>
            <w:tcBorders>
              <w:top w:val="nil"/>
              <w:left w:val="nil"/>
              <w:bottom w:val="nil"/>
              <w:right w:val="nil"/>
            </w:tcBorders>
            <w:noWrap/>
            <w:vAlign w:val="center"/>
          </w:tcPr>
          <w:p w:rsidR="00287BDD" w:rsidRPr="005E30E6" w:rsidRDefault="00287BDD" w:rsidP="00287BDD">
            <w:pPr>
              <w:rPr>
                <w:sz w:val="22"/>
                <w:szCs w:val="22"/>
              </w:rPr>
            </w:pPr>
            <w:r w:rsidRPr="005E30E6">
              <w:rPr>
                <w:sz w:val="22"/>
                <w:szCs w:val="22"/>
              </w:rPr>
              <w:t>SPEEDY Group AD</w:t>
            </w:r>
          </w:p>
        </w:tc>
        <w:tc>
          <w:tcPr>
            <w:tcW w:w="4050" w:type="dxa"/>
            <w:tcBorders>
              <w:top w:val="nil"/>
              <w:left w:val="nil"/>
              <w:bottom w:val="nil"/>
              <w:right w:val="nil"/>
            </w:tcBorders>
            <w:noWrap/>
            <w:tcMar>
              <w:right w:w="227" w:type="dxa"/>
            </w:tcMar>
            <w:vAlign w:val="center"/>
          </w:tcPr>
          <w:p w:rsidR="00287BDD" w:rsidRPr="005E30E6" w:rsidRDefault="00287BDD" w:rsidP="00287BDD">
            <w:pPr>
              <w:rPr>
                <w:color w:val="000000"/>
                <w:sz w:val="22"/>
                <w:szCs w:val="22"/>
                <w:lang w:eastAsia="bg-BG"/>
              </w:rPr>
            </w:pPr>
            <w:r w:rsidRPr="005E30E6">
              <w:rPr>
                <w:color w:val="000000"/>
                <w:sz w:val="22"/>
                <w:szCs w:val="22"/>
                <w:lang w:eastAsia="bg-BG"/>
              </w:rPr>
              <w:t>Parent Company</w:t>
            </w:r>
          </w:p>
        </w:tc>
      </w:tr>
      <w:tr w:rsidR="00287BDD" w:rsidRPr="00C66B91" w:rsidTr="00C46C22">
        <w:trPr>
          <w:trHeight w:val="305"/>
        </w:trPr>
        <w:tc>
          <w:tcPr>
            <w:tcW w:w="5310" w:type="dxa"/>
            <w:tcBorders>
              <w:top w:val="nil"/>
              <w:left w:val="nil"/>
              <w:bottom w:val="nil"/>
              <w:right w:val="nil"/>
            </w:tcBorders>
            <w:noWrap/>
            <w:vAlign w:val="center"/>
          </w:tcPr>
          <w:p w:rsidR="00287BDD" w:rsidRPr="005E30E6" w:rsidRDefault="00287BDD" w:rsidP="00287BDD">
            <w:pPr>
              <w:rPr>
                <w:sz w:val="22"/>
                <w:szCs w:val="22"/>
              </w:rPr>
            </w:pPr>
            <w:r w:rsidRPr="005E30E6">
              <w:rPr>
                <w:sz w:val="22"/>
                <w:szCs w:val="22"/>
              </w:rPr>
              <w:t>Dragomir Winery Estate OOD</w:t>
            </w:r>
          </w:p>
        </w:tc>
        <w:tc>
          <w:tcPr>
            <w:tcW w:w="4050" w:type="dxa"/>
            <w:tcBorders>
              <w:top w:val="nil"/>
              <w:left w:val="nil"/>
              <w:bottom w:val="nil"/>
              <w:right w:val="nil"/>
            </w:tcBorders>
            <w:noWrap/>
            <w:tcMar>
              <w:right w:w="227" w:type="dxa"/>
            </w:tcMar>
            <w:vAlign w:val="center"/>
          </w:tcPr>
          <w:p w:rsidR="00287BDD" w:rsidRPr="005E30E6" w:rsidRDefault="00287BDD" w:rsidP="00287BDD">
            <w:pPr>
              <w:rPr>
                <w:color w:val="000000"/>
                <w:sz w:val="22"/>
                <w:szCs w:val="22"/>
                <w:lang w:eastAsia="bg-BG"/>
              </w:rPr>
            </w:pPr>
            <w:r w:rsidRPr="005E30E6">
              <w:rPr>
                <w:color w:val="000000"/>
                <w:sz w:val="22"/>
                <w:szCs w:val="22"/>
                <w:lang w:eastAsia="bg-BG"/>
              </w:rPr>
              <w:t>Company under common control</w:t>
            </w:r>
          </w:p>
        </w:tc>
      </w:tr>
      <w:tr w:rsidR="00287BDD" w:rsidRPr="00C66B91" w:rsidTr="00C46C22">
        <w:trPr>
          <w:trHeight w:val="305"/>
        </w:trPr>
        <w:tc>
          <w:tcPr>
            <w:tcW w:w="5310" w:type="dxa"/>
            <w:tcBorders>
              <w:top w:val="nil"/>
              <w:left w:val="nil"/>
              <w:bottom w:val="nil"/>
              <w:right w:val="nil"/>
            </w:tcBorders>
            <w:noWrap/>
            <w:vAlign w:val="center"/>
          </w:tcPr>
          <w:p w:rsidR="00287BDD" w:rsidRPr="005E30E6" w:rsidRDefault="00287BDD" w:rsidP="00287BDD">
            <w:pPr>
              <w:rPr>
                <w:sz w:val="22"/>
                <w:szCs w:val="22"/>
              </w:rPr>
            </w:pPr>
            <w:r w:rsidRPr="005E30E6">
              <w:rPr>
                <w:sz w:val="22"/>
                <w:szCs w:val="22"/>
              </w:rPr>
              <w:t>Transbankan group OOD</w:t>
            </w:r>
          </w:p>
        </w:tc>
        <w:tc>
          <w:tcPr>
            <w:tcW w:w="4050" w:type="dxa"/>
            <w:tcBorders>
              <w:top w:val="nil"/>
              <w:left w:val="nil"/>
              <w:bottom w:val="nil"/>
              <w:right w:val="nil"/>
            </w:tcBorders>
            <w:noWrap/>
            <w:tcMar>
              <w:right w:w="227" w:type="dxa"/>
            </w:tcMar>
          </w:tcPr>
          <w:p w:rsidR="00287BDD" w:rsidRPr="005E30E6" w:rsidRDefault="00287BDD" w:rsidP="00287BDD">
            <w:r w:rsidRPr="005E30E6">
              <w:rPr>
                <w:color w:val="000000"/>
                <w:sz w:val="22"/>
                <w:szCs w:val="22"/>
                <w:lang w:eastAsia="bg-BG"/>
              </w:rPr>
              <w:t>Company under common control</w:t>
            </w:r>
          </w:p>
        </w:tc>
      </w:tr>
      <w:tr w:rsidR="00287BDD" w:rsidRPr="00C66B91" w:rsidTr="00C46C22">
        <w:trPr>
          <w:trHeight w:val="305"/>
        </w:trPr>
        <w:tc>
          <w:tcPr>
            <w:tcW w:w="5310" w:type="dxa"/>
            <w:tcBorders>
              <w:top w:val="nil"/>
              <w:left w:val="nil"/>
              <w:bottom w:val="nil"/>
              <w:right w:val="nil"/>
            </w:tcBorders>
            <w:noWrap/>
            <w:vAlign w:val="center"/>
          </w:tcPr>
          <w:p w:rsidR="00287BDD" w:rsidRPr="005E30E6" w:rsidRDefault="00287BDD" w:rsidP="00287BDD">
            <w:pPr>
              <w:rPr>
                <w:sz w:val="22"/>
                <w:szCs w:val="22"/>
              </w:rPr>
            </w:pPr>
            <w:r w:rsidRPr="005E30E6">
              <w:rPr>
                <w:sz w:val="22"/>
                <w:szCs w:val="22"/>
              </w:rPr>
              <w:t>Transabalkan group Romania</w:t>
            </w:r>
          </w:p>
        </w:tc>
        <w:tc>
          <w:tcPr>
            <w:tcW w:w="4050" w:type="dxa"/>
            <w:tcBorders>
              <w:top w:val="nil"/>
              <w:left w:val="nil"/>
              <w:bottom w:val="nil"/>
              <w:right w:val="nil"/>
            </w:tcBorders>
            <w:noWrap/>
            <w:tcMar>
              <w:right w:w="227" w:type="dxa"/>
            </w:tcMar>
          </w:tcPr>
          <w:p w:rsidR="00287BDD" w:rsidRPr="005E30E6" w:rsidRDefault="00287BDD" w:rsidP="00287BDD">
            <w:r w:rsidRPr="005E30E6">
              <w:rPr>
                <w:color w:val="000000"/>
                <w:sz w:val="22"/>
                <w:szCs w:val="22"/>
                <w:lang w:eastAsia="bg-BG"/>
              </w:rPr>
              <w:t>Company under common control</w:t>
            </w:r>
          </w:p>
        </w:tc>
      </w:tr>
      <w:tr w:rsidR="00287BDD" w:rsidRPr="00C66B91" w:rsidTr="00C46C22">
        <w:trPr>
          <w:trHeight w:val="305"/>
        </w:trPr>
        <w:tc>
          <w:tcPr>
            <w:tcW w:w="5310" w:type="dxa"/>
            <w:tcBorders>
              <w:top w:val="nil"/>
              <w:left w:val="nil"/>
              <w:bottom w:val="nil"/>
              <w:right w:val="nil"/>
            </w:tcBorders>
            <w:noWrap/>
            <w:vAlign w:val="center"/>
          </w:tcPr>
          <w:p w:rsidR="00287BDD" w:rsidRPr="005E30E6" w:rsidRDefault="00287BDD" w:rsidP="00287BDD">
            <w:pPr>
              <w:rPr>
                <w:sz w:val="22"/>
                <w:szCs w:val="22"/>
              </w:rPr>
            </w:pPr>
            <w:r w:rsidRPr="005E30E6">
              <w:rPr>
                <w:sz w:val="22"/>
                <w:szCs w:val="22"/>
              </w:rPr>
              <w:t>Omnicar BG EOOD</w:t>
            </w:r>
          </w:p>
        </w:tc>
        <w:tc>
          <w:tcPr>
            <w:tcW w:w="4050" w:type="dxa"/>
            <w:tcBorders>
              <w:top w:val="nil"/>
              <w:left w:val="nil"/>
              <w:bottom w:val="nil"/>
              <w:right w:val="nil"/>
            </w:tcBorders>
            <w:noWrap/>
            <w:tcMar>
              <w:right w:w="227" w:type="dxa"/>
            </w:tcMar>
          </w:tcPr>
          <w:p w:rsidR="00287BDD" w:rsidRPr="005E30E6" w:rsidRDefault="00287BDD" w:rsidP="00287BDD">
            <w:r w:rsidRPr="005E30E6">
              <w:rPr>
                <w:color w:val="000000"/>
                <w:sz w:val="22"/>
                <w:szCs w:val="22"/>
                <w:lang w:eastAsia="bg-BG"/>
              </w:rPr>
              <w:t>Company under common control</w:t>
            </w:r>
          </w:p>
        </w:tc>
      </w:tr>
      <w:tr w:rsidR="00287BDD" w:rsidRPr="00C66B91" w:rsidTr="00C46C22">
        <w:trPr>
          <w:trHeight w:val="305"/>
        </w:trPr>
        <w:tc>
          <w:tcPr>
            <w:tcW w:w="5310" w:type="dxa"/>
            <w:tcBorders>
              <w:top w:val="nil"/>
              <w:left w:val="nil"/>
              <w:bottom w:val="nil"/>
              <w:right w:val="nil"/>
            </w:tcBorders>
            <w:noWrap/>
            <w:vAlign w:val="center"/>
          </w:tcPr>
          <w:p w:rsidR="00287BDD" w:rsidRPr="005E30E6" w:rsidRDefault="00287BDD" w:rsidP="00287BDD">
            <w:pPr>
              <w:rPr>
                <w:sz w:val="22"/>
                <w:szCs w:val="22"/>
              </w:rPr>
            </w:pPr>
            <w:r w:rsidRPr="005E30E6">
              <w:rPr>
                <w:sz w:val="22"/>
                <w:szCs w:val="22"/>
              </w:rPr>
              <w:t>Omnicar Auto OOD</w:t>
            </w:r>
          </w:p>
        </w:tc>
        <w:tc>
          <w:tcPr>
            <w:tcW w:w="4050" w:type="dxa"/>
            <w:tcBorders>
              <w:top w:val="nil"/>
              <w:left w:val="nil"/>
              <w:bottom w:val="nil"/>
              <w:right w:val="nil"/>
            </w:tcBorders>
            <w:noWrap/>
            <w:tcMar>
              <w:right w:w="227" w:type="dxa"/>
            </w:tcMar>
          </w:tcPr>
          <w:p w:rsidR="00287BDD" w:rsidRPr="005E30E6" w:rsidRDefault="00287BDD" w:rsidP="00287BDD">
            <w:r w:rsidRPr="005E30E6">
              <w:rPr>
                <w:color w:val="000000"/>
                <w:sz w:val="22"/>
                <w:szCs w:val="22"/>
                <w:lang w:eastAsia="bg-BG"/>
              </w:rPr>
              <w:t>Company under common control</w:t>
            </w:r>
          </w:p>
        </w:tc>
      </w:tr>
      <w:tr w:rsidR="00287BDD" w:rsidRPr="00C66B91" w:rsidTr="00C46C22">
        <w:trPr>
          <w:trHeight w:val="305"/>
        </w:trPr>
        <w:tc>
          <w:tcPr>
            <w:tcW w:w="5310" w:type="dxa"/>
            <w:tcBorders>
              <w:top w:val="nil"/>
              <w:left w:val="nil"/>
              <w:bottom w:val="nil"/>
              <w:right w:val="nil"/>
            </w:tcBorders>
            <w:noWrap/>
            <w:vAlign w:val="center"/>
          </w:tcPr>
          <w:p w:rsidR="00287BDD" w:rsidRPr="005E30E6" w:rsidRDefault="00287BDD" w:rsidP="00287BDD">
            <w:pPr>
              <w:rPr>
                <w:sz w:val="22"/>
                <w:szCs w:val="22"/>
              </w:rPr>
            </w:pPr>
            <w:r w:rsidRPr="005E30E6">
              <w:rPr>
                <w:sz w:val="22"/>
                <w:szCs w:val="22"/>
              </w:rPr>
              <w:t>Bulrom gas 2006 OOD</w:t>
            </w:r>
          </w:p>
        </w:tc>
        <w:tc>
          <w:tcPr>
            <w:tcW w:w="4050" w:type="dxa"/>
            <w:tcBorders>
              <w:top w:val="nil"/>
              <w:left w:val="nil"/>
              <w:bottom w:val="nil"/>
              <w:right w:val="nil"/>
            </w:tcBorders>
            <w:noWrap/>
            <w:tcMar>
              <w:right w:w="227" w:type="dxa"/>
            </w:tcMar>
          </w:tcPr>
          <w:p w:rsidR="00287BDD" w:rsidRPr="005E30E6" w:rsidRDefault="00287BDD" w:rsidP="00287BDD">
            <w:r w:rsidRPr="005E30E6">
              <w:rPr>
                <w:color w:val="000000"/>
                <w:sz w:val="22"/>
                <w:szCs w:val="22"/>
                <w:lang w:eastAsia="bg-BG"/>
              </w:rPr>
              <w:t>Company under common control</w:t>
            </w:r>
          </w:p>
        </w:tc>
      </w:tr>
    </w:tbl>
    <w:p w:rsidR="00E922D1" w:rsidRPr="00C66B91" w:rsidRDefault="00E922D1" w:rsidP="00E922D1">
      <w:pPr>
        <w:jc w:val="both"/>
        <w:rPr>
          <w:sz w:val="22"/>
          <w:szCs w:val="22"/>
          <w:lang w:val="en-GB"/>
        </w:rPr>
      </w:pPr>
    </w:p>
    <w:p w:rsidR="00EE3CD4" w:rsidRPr="00C66B91" w:rsidRDefault="00EE3CD4" w:rsidP="00E922D1">
      <w:pPr>
        <w:jc w:val="both"/>
        <w:rPr>
          <w:sz w:val="22"/>
          <w:szCs w:val="22"/>
          <w:lang w:val="en-GB"/>
        </w:rPr>
      </w:pPr>
    </w:p>
    <w:p w:rsidR="00EE3CD4" w:rsidRPr="00C66B91" w:rsidRDefault="00EE3CD4" w:rsidP="00E922D1">
      <w:pPr>
        <w:jc w:val="both"/>
        <w:rPr>
          <w:sz w:val="22"/>
          <w:szCs w:val="22"/>
          <w:lang w:val="en-GB"/>
        </w:rPr>
      </w:pPr>
    </w:p>
    <w:p w:rsidR="000F59A5" w:rsidRPr="005E30E6" w:rsidRDefault="000F59A5" w:rsidP="000F59A5">
      <w:pPr>
        <w:autoSpaceDE w:val="0"/>
        <w:autoSpaceDN w:val="0"/>
        <w:adjustRightInd w:val="0"/>
        <w:rPr>
          <w:b/>
          <w:sz w:val="22"/>
          <w:szCs w:val="22"/>
        </w:rPr>
      </w:pPr>
      <w:r>
        <w:rPr>
          <w:b/>
          <w:sz w:val="22"/>
          <w:szCs w:val="22"/>
        </w:rPr>
        <w:t>Extended</w:t>
      </w:r>
      <w:r w:rsidRPr="005E30E6">
        <w:rPr>
          <w:b/>
          <w:sz w:val="22"/>
          <w:szCs w:val="22"/>
        </w:rPr>
        <w:t xml:space="preserve"> loans</w:t>
      </w:r>
    </w:p>
    <w:p w:rsidR="000F59A5" w:rsidRPr="005E30E6" w:rsidRDefault="000F59A5" w:rsidP="000F59A5">
      <w:pPr>
        <w:ind w:right="-75"/>
        <w:jc w:val="both"/>
        <w:rPr>
          <w:sz w:val="22"/>
          <w:szCs w:val="22"/>
        </w:rPr>
      </w:pPr>
    </w:p>
    <w:p w:rsidR="000F59A5" w:rsidRPr="005E30E6" w:rsidRDefault="000F59A5" w:rsidP="000F59A5">
      <w:pPr>
        <w:ind w:right="-75"/>
        <w:jc w:val="both"/>
        <w:rPr>
          <w:sz w:val="22"/>
          <w:szCs w:val="22"/>
        </w:rPr>
      </w:pPr>
      <w:r w:rsidRPr="005E30E6">
        <w:rPr>
          <w:sz w:val="22"/>
          <w:szCs w:val="22"/>
        </w:rPr>
        <w:t xml:space="preserve">Pursuant to the annex signed </w:t>
      </w:r>
      <w:r>
        <w:rPr>
          <w:sz w:val="22"/>
          <w:szCs w:val="22"/>
        </w:rPr>
        <w:t>on</w:t>
      </w:r>
      <w:r w:rsidRPr="005E30E6">
        <w:rPr>
          <w:sz w:val="22"/>
          <w:szCs w:val="22"/>
        </w:rPr>
        <w:t xml:space="preserve"> 31</w:t>
      </w:r>
      <w:r>
        <w:rPr>
          <w:sz w:val="22"/>
          <w:szCs w:val="22"/>
        </w:rPr>
        <w:t>st</w:t>
      </w:r>
      <w:r w:rsidRPr="005E30E6">
        <w:rPr>
          <w:sz w:val="22"/>
          <w:szCs w:val="22"/>
        </w:rPr>
        <w:t xml:space="preserve"> August 2013, the Parent Company </w:t>
      </w:r>
      <w:r>
        <w:rPr>
          <w:sz w:val="22"/>
          <w:szCs w:val="22"/>
        </w:rPr>
        <w:t>extended</w:t>
      </w:r>
      <w:r w:rsidRPr="005E30E6">
        <w:rPr>
          <w:sz w:val="22"/>
          <w:szCs w:val="22"/>
        </w:rPr>
        <w:t xml:space="preserve"> a loan to Bulrom gas 2006 OOD </w:t>
      </w:r>
      <w:r>
        <w:rPr>
          <w:sz w:val="22"/>
          <w:szCs w:val="22"/>
        </w:rPr>
        <w:t>in</w:t>
      </w:r>
      <w:r w:rsidRPr="005E30E6">
        <w:rPr>
          <w:sz w:val="22"/>
          <w:szCs w:val="22"/>
        </w:rPr>
        <w:t xml:space="preserve"> amount of BGN 3,091</w:t>
      </w:r>
      <w:r>
        <w:rPr>
          <w:sz w:val="22"/>
          <w:szCs w:val="22"/>
        </w:rPr>
        <w:t>k</w:t>
      </w:r>
      <w:r w:rsidRPr="005E30E6">
        <w:rPr>
          <w:sz w:val="22"/>
          <w:szCs w:val="22"/>
        </w:rPr>
        <w:t xml:space="preserve"> with </w:t>
      </w:r>
      <w:r>
        <w:rPr>
          <w:sz w:val="22"/>
          <w:szCs w:val="22"/>
        </w:rPr>
        <w:t>maturity date</w:t>
      </w:r>
      <w:r w:rsidRPr="005E30E6">
        <w:rPr>
          <w:sz w:val="22"/>
          <w:szCs w:val="22"/>
        </w:rPr>
        <w:t xml:space="preserve"> 31 August 2017.</w:t>
      </w:r>
    </w:p>
    <w:p w:rsidR="000F59A5" w:rsidRPr="005E30E6" w:rsidRDefault="000F59A5" w:rsidP="000F59A5">
      <w:pPr>
        <w:ind w:right="-75"/>
        <w:jc w:val="both"/>
        <w:rPr>
          <w:sz w:val="22"/>
          <w:szCs w:val="22"/>
        </w:rPr>
      </w:pPr>
    </w:p>
    <w:p w:rsidR="000F59A5" w:rsidRPr="005E30E6" w:rsidRDefault="000F59A5" w:rsidP="000F59A5">
      <w:pPr>
        <w:ind w:right="-75"/>
        <w:jc w:val="both"/>
        <w:rPr>
          <w:sz w:val="22"/>
          <w:szCs w:val="22"/>
        </w:rPr>
      </w:pPr>
      <w:r w:rsidRPr="005E30E6">
        <w:rPr>
          <w:sz w:val="22"/>
          <w:szCs w:val="22"/>
        </w:rPr>
        <w:t xml:space="preserve">As </w:t>
      </w:r>
      <w:r>
        <w:rPr>
          <w:sz w:val="22"/>
          <w:szCs w:val="22"/>
        </w:rPr>
        <w:t>of</w:t>
      </w:r>
      <w:r w:rsidRPr="005E30E6">
        <w:rPr>
          <w:sz w:val="22"/>
          <w:szCs w:val="22"/>
        </w:rPr>
        <w:t xml:space="preserve"> </w:t>
      </w:r>
      <w:r>
        <w:rPr>
          <w:sz w:val="22"/>
          <w:szCs w:val="22"/>
        </w:rPr>
        <w:t>30 June</w:t>
      </w:r>
      <w:r w:rsidRPr="005E30E6">
        <w:rPr>
          <w:sz w:val="22"/>
          <w:szCs w:val="22"/>
        </w:rPr>
        <w:t xml:space="preserve"> 2015, </w:t>
      </w:r>
      <w:r>
        <w:rPr>
          <w:sz w:val="22"/>
          <w:szCs w:val="22"/>
        </w:rPr>
        <w:t xml:space="preserve">the </w:t>
      </w:r>
      <w:r w:rsidRPr="005E30E6">
        <w:rPr>
          <w:sz w:val="22"/>
          <w:szCs w:val="22"/>
        </w:rPr>
        <w:t xml:space="preserve">loans </w:t>
      </w:r>
      <w:r>
        <w:rPr>
          <w:sz w:val="22"/>
          <w:szCs w:val="22"/>
        </w:rPr>
        <w:t xml:space="preserve">extended </w:t>
      </w:r>
      <w:r w:rsidRPr="005E30E6">
        <w:rPr>
          <w:sz w:val="22"/>
          <w:szCs w:val="22"/>
        </w:rPr>
        <w:t xml:space="preserve">are </w:t>
      </w:r>
      <w:r>
        <w:rPr>
          <w:sz w:val="22"/>
          <w:szCs w:val="22"/>
        </w:rPr>
        <w:t>as follows</w:t>
      </w:r>
      <w:r w:rsidRPr="005E30E6">
        <w:rPr>
          <w:sz w:val="22"/>
          <w:szCs w:val="22"/>
        </w:rPr>
        <w:t>:</w:t>
      </w:r>
    </w:p>
    <w:p w:rsidR="00E922D1" w:rsidRPr="00C66B91" w:rsidRDefault="00E922D1" w:rsidP="00E922D1">
      <w:pPr>
        <w:ind w:right="-75"/>
        <w:jc w:val="both"/>
        <w:rPr>
          <w:sz w:val="22"/>
          <w:szCs w:val="22"/>
          <w:lang w:val="en-GB"/>
        </w:rPr>
      </w:pPr>
    </w:p>
    <w:tbl>
      <w:tblPr>
        <w:tblW w:w="9322" w:type="dxa"/>
        <w:tblLook w:val="00A0" w:firstRow="1" w:lastRow="0" w:firstColumn="1" w:lastColumn="0" w:noHBand="0" w:noVBand="0"/>
      </w:tblPr>
      <w:tblGrid>
        <w:gridCol w:w="5920"/>
        <w:gridCol w:w="1701"/>
        <w:gridCol w:w="1701"/>
      </w:tblGrid>
      <w:tr w:rsidR="0062697D" w:rsidRPr="00C66B91" w:rsidTr="0062697D">
        <w:trPr>
          <w:trHeight w:val="144"/>
        </w:trPr>
        <w:tc>
          <w:tcPr>
            <w:tcW w:w="5920" w:type="dxa"/>
            <w:noWrap/>
          </w:tcPr>
          <w:p w:rsidR="0062697D" w:rsidRPr="00C66B91" w:rsidRDefault="0062697D" w:rsidP="0062697D">
            <w:pPr>
              <w:rPr>
                <w:sz w:val="22"/>
                <w:szCs w:val="22"/>
                <w:lang w:val="en-GB"/>
              </w:rPr>
            </w:pPr>
          </w:p>
        </w:tc>
        <w:tc>
          <w:tcPr>
            <w:tcW w:w="1701" w:type="dxa"/>
            <w:noWrap/>
          </w:tcPr>
          <w:p w:rsidR="0062697D" w:rsidRPr="00C66B91" w:rsidRDefault="008A588E" w:rsidP="0062697D">
            <w:pPr>
              <w:pBdr>
                <w:bottom w:val="single" w:sz="4" w:space="1" w:color="auto"/>
              </w:pBdr>
              <w:autoSpaceDE w:val="0"/>
              <w:autoSpaceDN w:val="0"/>
              <w:adjustRightInd w:val="0"/>
              <w:jc w:val="center"/>
              <w:rPr>
                <w:b/>
                <w:sz w:val="22"/>
                <w:szCs w:val="22"/>
                <w:lang w:val="en-GB"/>
              </w:rPr>
            </w:pPr>
            <w:r w:rsidRPr="00C66B91">
              <w:rPr>
                <w:b/>
                <w:sz w:val="22"/>
                <w:szCs w:val="22"/>
                <w:lang w:val="en-GB"/>
              </w:rPr>
              <w:t>30.06</w:t>
            </w:r>
            <w:r w:rsidR="0062697D" w:rsidRPr="00C66B91">
              <w:rPr>
                <w:b/>
                <w:sz w:val="22"/>
                <w:szCs w:val="22"/>
                <w:lang w:val="en-GB"/>
              </w:rPr>
              <w:t>.2015</w:t>
            </w:r>
          </w:p>
          <w:p w:rsidR="0062697D" w:rsidRPr="00C66B91" w:rsidRDefault="0062697D" w:rsidP="0062697D">
            <w:pPr>
              <w:jc w:val="center"/>
              <w:rPr>
                <w:sz w:val="22"/>
                <w:szCs w:val="22"/>
                <w:lang w:val="en-GB"/>
              </w:rPr>
            </w:pPr>
            <w:r w:rsidRPr="00C66B91">
              <w:rPr>
                <w:b/>
                <w:sz w:val="22"/>
                <w:szCs w:val="22"/>
                <w:lang w:val="en-GB"/>
              </w:rPr>
              <w:t>BGN’000</w:t>
            </w:r>
          </w:p>
        </w:tc>
        <w:tc>
          <w:tcPr>
            <w:tcW w:w="1701" w:type="dxa"/>
          </w:tcPr>
          <w:p w:rsidR="0062697D" w:rsidRPr="00C66B91" w:rsidRDefault="0062697D" w:rsidP="0062697D">
            <w:pPr>
              <w:pBdr>
                <w:bottom w:val="single" w:sz="4" w:space="1" w:color="auto"/>
              </w:pBdr>
              <w:autoSpaceDE w:val="0"/>
              <w:autoSpaceDN w:val="0"/>
              <w:adjustRightInd w:val="0"/>
              <w:jc w:val="center"/>
              <w:rPr>
                <w:b/>
                <w:sz w:val="22"/>
                <w:szCs w:val="22"/>
                <w:lang w:val="en-GB"/>
              </w:rPr>
            </w:pPr>
            <w:r w:rsidRPr="00C66B91">
              <w:rPr>
                <w:b/>
                <w:sz w:val="22"/>
                <w:szCs w:val="22"/>
                <w:lang w:val="en-GB"/>
              </w:rPr>
              <w:t>31.12.2014</w:t>
            </w:r>
          </w:p>
          <w:p w:rsidR="0062697D" w:rsidRPr="00C66B91" w:rsidRDefault="0062697D" w:rsidP="0062697D">
            <w:pPr>
              <w:jc w:val="center"/>
              <w:rPr>
                <w:sz w:val="22"/>
                <w:szCs w:val="22"/>
                <w:lang w:val="en-GB"/>
              </w:rPr>
            </w:pPr>
            <w:r w:rsidRPr="00C66B91">
              <w:rPr>
                <w:b/>
                <w:sz w:val="22"/>
                <w:szCs w:val="22"/>
                <w:lang w:val="en-GB"/>
              </w:rPr>
              <w:t>BGN’000</w:t>
            </w:r>
          </w:p>
        </w:tc>
      </w:tr>
      <w:tr w:rsidR="0062697D" w:rsidRPr="00C66B91" w:rsidTr="0062697D">
        <w:trPr>
          <w:trHeight w:val="144"/>
        </w:trPr>
        <w:tc>
          <w:tcPr>
            <w:tcW w:w="5920" w:type="dxa"/>
            <w:noWrap/>
          </w:tcPr>
          <w:p w:rsidR="0062697D" w:rsidRPr="00C66B91" w:rsidRDefault="0062697D" w:rsidP="0062697D">
            <w:pPr>
              <w:rPr>
                <w:sz w:val="22"/>
                <w:szCs w:val="22"/>
                <w:lang w:val="en-GB"/>
              </w:rPr>
            </w:pPr>
            <w:r w:rsidRPr="00C66B91">
              <w:rPr>
                <w:sz w:val="22"/>
                <w:szCs w:val="22"/>
                <w:lang w:val="en-GB"/>
              </w:rPr>
              <w:t xml:space="preserve"> </w:t>
            </w:r>
          </w:p>
        </w:tc>
        <w:tc>
          <w:tcPr>
            <w:tcW w:w="1701" w:type="dxa"/>
            <w:noWrap/>
          </w:tcPr>
          <w:p w:rsidR="0062697D" w:rsidRPr="00C66B91" w:rsidRDefault="0062697D" w:rsidP="0062697D">
            <w:pPr>
              <w:rPr>
                <w:sz w:val="22"/>
                <w:szCs w:val="22"/>
                <w:lang w:val="en-GB"/>
              </w:rPr>
            </w:pPr>
          </w:p>
        </w:tc>
        <w:tc>
          <w:tcPr>
            <w:tcW w:w="1701" w:type="dxa"/>
          </w:tcPr>
          <w:p w:rsidR="0062697D" w:rsidRPr="00C66B91" w:rsidRDefault="0062697D" w:rsidP="0062697D">
            <w:pPr>
              <w:rPr>
                <w:sz w:val="22"/>
                <w:szCs w:val="22"/>
                <w:lang w:val="en-GB"/>
              </w:rPr>
            </w:pPr>
          </w:p>
        </w:tc>
      </w:tr>
      <w:tr w:rsidR="000F59A5" w:rsidRPr="00C66B91" w:rsidTr="0062697D">
        <w:trPr>
          <w:trHeight w:val="144"/>
        </w:trPr>
        <w:tc>
          <w:tcPr>
            <w:tcW w:w="5920" w:type="dxa"/>
            <w:noWrap/>
          </w:tcPr>
          <w:p w:rsidR="000F59A5" w:rsidRPr="005E30E6" w:rsidRDefault="000F59A5" w:rsidP="000F59A5">
            <w:pPr>
              <w:rPr>
                <w:sz w:val="22"/>
                <w:szCs w:val="22"/>
              </w:rPr>
            </w:pPr>
            <w:r w:rsidRPr="005E30E6">
              <w:rPr>
                <w:sz w:val="22"/>
                <w:szCs w:val="22"/>
              </w:rPr>
              <w:t>Bulrom gas 2006 OOD</w:t>
            </w:r>
          </w:p>
        </w:tc>
        <w:tc>
          <w:tcPr>
            <w:tcW w:w="1701" w:type="dxa"/>
            <w:tcBorders>
              <w:bottom w:val="single" w:sz="4" w:space="0" w:color="auto"/>
            </w:tcBorders>
            <w:noWrap/>
          </w:tcPr>
          <w:p w:rsidR="000F59A5" w:rsidRPr="00C66B91" w:rsidRDefault="000F59A5" w:rsidP="000F59A5">
            <w:pPr>
              <w:jc w:val="right"/>
              <w:rPr>
                <w:sz w:val="22"/>
                <w:szCs w:val="22"/>
                <w:lang w:val="en-GB"/>
              </w:rPr>
            </w:pPr>
            <w:r w:rsidRPr="00C66B91">
              <w:rPr>
                <w:sz w:val="22"/>
                <w:szCs w:val="22"/>
                <w:lang w:val="en-GB"/>
              </w:rPr>
              <w:t>3,245</w:t>
            </w:r>
          </w:p>
        </w:tc>
        <w:tc>
          <w:tcPr>
            <w:tcW w:w="1701" w:type="dxa"/>
            <w:tcBorders>
              <w:bottom w:val="single" w:sz="4" w:space="0" w:color="auto"/>
            </w:tcBorders>
          </w:tcPr>
          <w:p w:rsidR="000F59A5" w:rsidRPr="00C66B91" w:rsidRDefault="000F59A5" w:rsidP="000F59A5">
            <w:pPr>
              <w:jc w:val="right"/>
              <w:rPr>
                <w:sz w:val="22"/>
                <w:szCs w:val="22"/>
                <w:lang w:val="en-GB"/>
              </w:rPr>
            </w:pPr>
            <w:r w:rsidRPr="00C66B91">
              <w:rPr>
                <w:sz w:val="22"/>
                <w:szCs w:val="22"/>
                <w:lang w:val="en-GB"/>
              </w:rPr>
              <w:t>3,153</w:t>
            </w:r>
          </w:p>
        </w:tc>
      </w:tr>
      <w:tr w:rsidR="000F59A5" w:rsidRPr="00C66B91" w:rsidTr="0062697D">
        <w:trPr>
          <w:trHeight w:val="144"/>
        </w:trPr>
        <w:tc>
          <w:tcPr>
            <w:tcW w:w="5920" w:type="dxa"/>
            <w:noWrap/>
          </w:tcPr>
          <w:p w:rsidR="000F59A5" w:rsidRPr="005E30E6" w:rsidRDefault="000F59A5" w:rsidP="000F59A5">
            <w:pPr>
              <w:rPr>
                <w:sz w:val="22"/>
                <w:szCs w:val="22"/>
              </w:rPr>
            </w:pPr>
            <w:r w:rsidRPr="005E30E6">
              <w:rPr>
                <w:sz w:val="22"/>
                <w:szCs w:val="22"/>
              </w:rPr>
              <w:t>incl.</w:t>
            </w:r>
          </w:p>
        </w:tc>
        <w:tc>
          <w:tcPr>
            <w:tcW w:w="1701" w:type="dxa"/>
            <w:tcBorders>
              <w:top w:val="single" w:sz="4" w:space="0" w:color="auto"/>
            </w:tcBorders>
            <w:noWrap/>
          </w:tcPr>
          <w:p w:rsidR="000F59A5" w:rsidRPr="00C66B91" w:rsidRDefault="000F59A5" w:rsidP="000F59A5">
            <w:pPr>
              <w:rPr>
                <w:sz w:val="22"/>
                <w:szCs w:val="22"/>
                <w:lang w:val="en-GB"/>
              </w:rPr>
            </w:pPr>
          </w:p>
        </w:tc>
        <w:tc>
          <w:tcPr>
            <w:tcW w:w="1701" w:type="dxa"/>
            <w:tcBorders>
              <w:top w:val="single" w:sz="4" w:space="0" w:color="auto"/>
            </w:tcBorders>
          </w:tcPr>
          <w:p w:rsidR="000F59A5" w:rsidRPr="00C66B91" w:rsidRDefault="000F59A5" w:rsidP="000F59A5">
            <w:pPr>
              <w:rPr>
                <w:sz w:val="22"/>
                <w:szCs w:val="22"/>
                <w:lang w:val="en-GB"/>
              </w:rPr>
            </w:pPr>
          </w:p>
        </w:tc>
      </w:tr>
      <w:tr w:rsidR="000F59A5" w:rsidRPr="00C66B91" w:rsidTr="0062697D">
        <w:trPr>
          <w:trHeight w:val="144"/>
        </w:trPr>
        <w:tc>
          <w:tcPr>
            <w:tcW w:w="5920" w:type="dxa"/>
            <w:noWrap/>
          </w:tcPr>
          <w:p w:rsidR="000F59A5" w:rsidRPr="005E30E6" w:rsidRDefault="000F59A5" w:rsidP="000F59A5">
            <w:pPr>
              <w:rPr>
                <w:sz w:val="22"/>
                <w:szCs w:val="22"/>
              </w:rPr>
            </w:pPr>
            <w:r w:rsidRPr="005E30E6">
              <w:rPr>
                <w:sz w:val="22"/>
                <w:szCs w:val="22"/>
              </w:rPr>
              <w:t xml:space="preserve"> - principal</w:t>
            </w:r>
          </w:p>
        </w:tc>
        <w:tc>
          <w:tcPr>
            <w:tcW w:w="1701" w:type="dxa"/>
            <w:noWrap/>
          </w:tcPr>
          <w:p w:rsidR="000F59A5" w:rsidRPr="00C66B91" w:rsidRDefault="000F59A5" w:rsidP="000F59A5">
            <w:pPr>
              <w:jc w:val="right"/>
              <w:rPr>
                <w:sz w:val="22"/>
                <w:szCs w:val="22"/>
                <w:lang w:val="en-GB"/>
              </w:rPr>
            </w:pPr>
            <w:r w:rsidRPr="00C66B91">
              <w:rPr>
                <w:sz w:val="22"/>
                <w:szCs w:val="22"/>
                <w:lang w:val="en-GB"/>
              </w:rPr>
              <w:t>3,091</w:t>
            </w:r>
          </w:p>
        </w:tc>
        <w:tc>
          <w:tcPr>
            <w:tcW w:w="1701" w:type="dxa"/>
          </w:tcPr>
          <w:p w:rsidR="000F59A5" w:rsidRPr="00C66B91" w:rsidRDefault="000F59A5" w:rsidP="000F59A5">
            <w:pPr>
              <w:jc w:val="right"/>
              <w:rPr>
                <w:sz w:val="22"/>
                <w:szCs w:val="22"/>
                <w:lang w:val="en-GB"/>
              </w:rPr>
            </w:pPr>
            <w:r w:rsidRPr="00C66B91">
              <w:rPr>
                <w:sz w:val="22"/>
                <w:szCs w:val="22"/>
                <w:lang w:val="en-GB"/>
              </w:rPr>
              <w:t>3,091</w:t>
            </w:r>
          </w:p>
        </w:tc>
      </w:tr>
      <w:tr w:rsidR="000F59A5" w:rsidRPr="00C66B91" w:rsidTr="0062697D">
        <w:trPr>
          <w:trHeight w:val="144"/>
        </w:trPr>
        <w:tc>
          <w:tcPr>
            <w:tcW w:w="5920" w:type="dxa"/>
            <w:noWrap/>
          </w:tcPr>
          <w:p w:rsidR="000F59A5" w:rsidRPr="005E30E6" w:rsidRDefault="000F59A5" w:rsidP="000F59A5">
            <w:pPr>
              <w:rPr>
                <w:sz w:val="22"/>
                <w:szCs w:val="22"/>
              </w:rPr>
            </w:pPr>
            <w:r w:rsidRPr="005E30E6">
              <w:rPr>
                <w:sz w:val="22"/>
                <w:szCs w:val="22"/>
              </w:rPr>
              <w:t xml:space="preserve"> - interest</w:t>
            </w:r>
          </w:p>
        </w:tc>
        <w:tc>
          <w:tcPr>
            <w:tcW w:w="1701" w:type="dxa"/>
            <w:noWrap/>
          </w:tcPr>
          <w:p w:rsidR="000F59A5" w:rsidRPr="00C66B91" w:rsidRDefault="000F59A5" w:rsidP="000F59A5">
            <w:pPr>
              <w:jc w:val="right"/>
              <w:rPr>
                <w:sz w:val="22"/>
                <w:szCs w:val="22"/>
                <w:lang w:val="en-GB"/>
              </w:rPr>
            </w:pPr>
            <w:r w:rsidRPr="00C66B91">
              <w:rPr>
                <w:sz w:val="22"/>
                <w:szCs w:val="22"/>
                <w:lang w:val="en-GB"/>
              </w:rPr>
              <w:t>154</w:t>
            </w:r>
          </w:p>
        </w:tc>
        <w:tc>
          <w:tcPr>
            <w:tcW w:w="1701" w:type="dxa"/>
          </w:tcPr>
          <w:p w:rsidR="000F59A5" w:rsidRPr="00C66B91" w:rsidRDefault="000F59A5" w:rsidP="000F59A5">
            <w:pPr>
              <w:jc w:val="right"/>
              <w:rPr>
                <w:sz w:val="22"/>
                <w:szCs w:val="22"/>
                <w:lang w:val="en-GB"/>
              </w:rPr>
            </w:pPr>
            <w:r w:rsidRPr="00C66B91">
              <w:rPr>
                <w:sz w:val="22"/>
                <w:szCs w:val="22"/>
                <w:lang w:val="en-GB"/>
              </w:rPr>
              <w:t>62</w:t>
            </w:r>
          </w:p>
        </w:tc>
      </w:tr>
      <w:tr w:rsidR="000F59A5" w:rsidRPr="00C66B91" w:rsidTr="0062697D">
        <w:trPr>
          <w:trHeight w:val="144"/>
        </w:trPr>
        <w:tc>
          <w:tcPr>
            <w:tcW w:w="5920" w:type="dxa"/>
            <w:noWrap/>
          </w:tcPr>
          <w:p w:rsidR="000F59A5" w:rsidRPr="005E30E6" w:rsidRDefault="000F59A5" w:rsidP="000F59A5">
            <w:pPr>
              <w:jc w:val="right"/>
              <w:rPr>
                <w:b/>
                <w:bCs/>
                <w:sz w:val="22"/>
                <w:szCs w:val="22"/>
              </w:rPr>
            </w:pPr>
            <w:r w:rsidRPr="005E30E6">
              <w:rPr>
                <w:b/>
                <w:bCs/>
                <w:sz w:val="22"/>
                <w:szCs w:val="22"/>
              </w:rPr>
              <w:t>Total</w:t>
            </w:r>
          </w:p>
        </w:tc>
        <w:tc>
          <w:tcPr>
            <w:tcW w:w="1701" w:type="dxa"/>
            <w:tcBorders>
              <w:top w:val="single" w:sz="4" w:space="0" w:color="auto"/>
              <w:bottom w:val="double" w:sz="4" w:space="0" w:color="auto"/>
            </w:tcBorders>
            <w:noWrap/>
          </w:tcPr>
          <w:p w:rsidR="000F59A5" w:rsidRPr="00C66B91" w:rsidRDefault="000F59A5" w:rsidP="000F59A5">
            <w:pPr>
              <w:jc w:val="right"/>
              <w:rPr>
                <w:b/>
                <w:sz w:val="22"/>
                <w:szCs w:val="22"/>
                <w:lang w:val="en-GB"/>
              </w:rPr>
            </w:pPr>
            <w:r w:rsidRPr="00C66B91">
              <w:rPr>
                <w:b/>
                <w:sz w:val="22"/>
                <w:szCs w:val="22"/>
                <w:lang w:val="en-GB"/>
              </w:rPr>
              <w:t>3,245</w:t>
            </w:r>
          </w:p>
        </w:tc>
        <w:tc>
          <w:tcPr>
            <w:tcW w:w="1701" w:type="dxa"/>
            <w:tcBorders>
              <w:top w:val="single" w:sz="4" w:space="0" w:color="auto"/>
              <w:bottom w:val="double" w:sz="4" w:space="0" w:color="auto"/>
            </w:tcBorders>
          </w:tcPr>
          <w:p w:rsidR="000F59A5" w:rsidRPr="00C66B91" w:rsidRDefault="000F59A5" w:rsidP="000F59A5">
            <w:pPr>
              <w:jc w:val="right"/>
              <w:rPr>
                <w:b/>
                <w:sz w:val="22"/>
                <w:szCs w:val="22"/>
                <w:lang w:val="en-GB"/>
              </w:rPr>
            </w:pPr>
            <w:r w:rsidRPr="00C66B91">
              <w:rPr>
                <w:b/>
                <w:sz w:val="22"/>
                <w:szCs w:val="22"/>
                <w:lang w:val="en-GB"/>
              </w:rPr>
              <w:t>3,153</w:t>
            </w:r>
          </w:p>
        </w:tc>
      </w:tr>
    </w:tbl>
    <w:p w:rsidR="00E922D1" w:rsidRPr="00C66B91" w:rsidRDefault="00E922D1" w:rsidP="00E922D1">
      <w:pPr>
        <w:ind w:right="-75"/>
        <w:jc w:val="both"/>
        <w:rPr>
          <w:sz w:val="22"/>
          <w:szCs w:val="22"/>
          <w:lang w:val="en-GB"/>
        </w:rPr>
      </w:pPr>
    </w:p>
    <w:p w:rsidR="000F59A5" w:rsidRPr="005E30E6" w:rsidRDefault="000F59A5" w:rsidP="000F59A5">
      <w:pPr>
        <w:autoSpaceDE w:val="0"/>
        <w:autoSpaceDN w:val="0"/>
        <w:adjustRightInd w:val="0"/>
        <w:rPr>
          <w:b/>
          <w:sz w:val="22"/>
          <w:szCs w:val="22"/>
        </w:rPr>
      </w:pPr>
      <w:r w:rsidRPr="005E30E6">
        <w:rPr>
          <w:b/>
          <w:sz w:val="22"/>
          <w:szCs w:val="22"/>
        </w:rPr>
        <w:t xml:space="preserve">Commercial </w:t>
      </w:r>
      <w:r>
        <w:rPr>
          <w:b/>
          <w:sz w:val="22"/>
          <w:szCs w:val="22"/>
        </w:rPr>
        <w:t>transactions</w:t>
      </w:r>
    </w:p>
    <w:p w:rsidR="000F59A5" w:rsidRPr="005E30E6" w:rsidRDefault="000F59A5" w:rsidP="000F59A5">
      <w:pPr>
        <w:numPr>
          <w:ilvl w:val="12"/>
          <w:numId w:val="0"/>
        </w:numPr>
        <w:jc w:val="both"/>
        <w:rPr>
          <w:sz w:val="22"/>
          <w:szCs w:val="22"/>
        </w:rPr>
      </w:pPr>
    </w:p>
    <w:p w:rsidR="000F59A5" w:rsidRPr="005E30E6" w:rsidRDefault="000F59A5" w:rsidP="000F59A5">
      <w:pPr>
        <w:numPr>
          <w:ilvl w:val="12"/>
          <w:numId w:val="0"/>
        </w:numPr>
        <w:jc w:val="both"/>
        <w:rPr>
          <w:sz w:val="22"/>
          <w:szCs w:val="22"/>
        </w:rPr>
      </w:pPr>
      <w:r w:rsidRPr="005E30E6">
        <w:rPr>
          <w:sz w:val="22"/>
          <w:szCs w:val="22"/>
        </w:rPr>
        <w:t>The Group has receivables from related parties as follows:</w:t>
      </w:r>
    </w:p>
    <w:p w:rsidR="00E922D1" w:rsidRPr="00C66B91" w:rsidRDefault="00E922D1" w:rsidP="00E922D1">
      <w:pPr>
        <w:numPr>
          <w:ilvl w:val="12"/>
          <w:numId w:val="0"/>
        </w:numPr>
        <w:jc w:val="both"/>
        <w:rPr>
          <w:sz w:val="22"/>
          <w:szCs w:val="22"/>
          <w:lang w:val="en-GB"/>
        </w:rPr>
      </w:pPr>
    </w:p>
    <w:tbl>
      <w:tblPr>
        <w:tblW w:w="9072" w:type="dxa"/>
        <w:tblInd w:w="70" w:type="dxa"/>
        <w:tblCellMar>
          <w:left w:w="70" w:type="dxa"/>
          <w:right w:w="70" w:type="dxa"/>
        </w:tblCellMar>
        <w:tblLook w:val="04A0" w:firstRow="1" w:lastRow="0" w:firstColumn="1" w:lastColumn="0" w:noHBand="0" w:noVBand="1"/>
      </w:tblPr>
      <w:tblGrid>
        <w:gridCol w:w="4111"/>
        <w:gridCol w:w="1701"/>
        <w:gridCol w:w="1559"/>
        <w:gridCol w:w="1701"/>
      </w:tblGrid>
      <w:tr w:rsidR="0062697D" w:rsidRPr="00C66B91" w:rsidTr="0062697D">
        <w:trPr>
          <w:trHeight w:val="315"/>
        </w:trPr>
        <w:tc>
          <w:tcPr>
            <w:tcW w:w="4111" w:type="dxa"/>
            <w:tcBorders>
              <w:top w:val="nil"/>
              <w:left w:val="nil"/>
              <w:bottom w:val="nil"/>
              <w:right w:val="nil"/>
            </w:tcBorders>
            <w:shd w:val="clear" w:color="auto" w:fill="auto"/>
            <w:noWrap/>
            <w:vAlign w:val="bottom"/>
            <w:hideMark/>
          </w:tcPr>
          <w:p w:rsidR="0062697D" w:rsidRPr="00C66B91" w:rsidRDefault="0062697D" w:rsidP="0062697D">
            <w:pPr>
              <w:rPr>
                <w:sz w:val="22"/>
                <w:szCs w:val="22"/>
                <w:lang w:val="en-GB" w:eastAsia="bg-BG"/>
              </w:rPr>
            </w:pPr>
          </w:p>
        </w:tc>
        <w:tc>
          <w:tcPr>
            <w:tcW w:w="1701" w:type="dxa"/>
            <w:tcBorders>
              <w:top w:val="nil"/>
              <w:left w:val="nil"/>
              <w:bottom w:val="nil"/>
              <w:right w:val="nil"/>
            </w:tcBorders>
            <w:shd w:val="clear" w:color="auto" w:fill="auto"/>
            <w:noWrap/>
            <w:vAlign w:val="bottom"/>
            <w:hideMark/>
          </w:tcPr>
          <w:p w:rsidR="0062697D" w:rsidRPr="00C66B91" w:rsidRDefault="0062697D" w:rsidP="0062697D">
            <w:pPr>
              <w:rPr>
                <w:sz w:val="22"/>
                <w:szCs w:val="22"/>
                <w:lang w:val="en-GB"/>
              </w:rPr>
            </w:pPr>
          </w:p>
        </w:tc>
        <w:tc>
          <w:tcPr>
            <w:tcW w:w="1559" w:type="dxa"/>
            <w:tcBorders>
              <w:top w:val="nil"/>
              <w:left w:val="nil"/>
              <w:bottom w:val="single" w:sz="2" w:space="0" w:color="auto"/>
              <w:right w:val="nil"/>
            </w:tcBorders>
            <w:shd w:val="clear" w:color="auto" w:fill="auto"/>
            <w:vAlign w:val="bottom"/>
            <w:hideMark/>
          </w:tcPr>
          <w:p w:rsidR="0062697D" w:rsidRPr="00C66B91" w:rsidRDefault="008A588E" w:rsidP="0062697D">
            <w:pPr>
              <w:jc w:val="center"/>
              <w:rPr>
                <w:b/>
                <w:bCs/>
                <w:color w:val="000000"/>
                <w:sz w:val="22"/>
                <w:szCs w:val="22"/>
                <w:lang w:val="en-GB"/>
              </w:rPr>
            </w:pPr>
            <w:r w:rsidRPr="00C66B91">
              <w:rPr>
                <w:b/>
                <w:bCs/>
                <w:color w:val="000000"/>
                <w:sz w:val="22"/>
                <w:szCs w:val="22"/>
                <w:lang w:val="en-GB"/>
              </w:rPr>
              <w:t>30.06</w:t>
            </w:r>
            <w:r w:rsidR="0062697D" w:rsidRPr="00C66B91">
              <w:rPr>
                <w:b/>
                <w:bCs/>
                <w:color w:val="000000"/>
                <w:sz w:val="22"/>
                <w:szCs w:val="22"/>
                <w:lang w:val="en-GB"/>
              </w:rPr>
              <w:t>.2015</w:t>
            </w:r>
          </w:p>
        </w:tc>
        <w:tc>
          <w:tcPr>
            <w:tcW w:w="1701" w:type="dxa"/>
            <w:tcBorders>
              <w:top w:val="nil"/>
              <w:left w:val="nil"/>
              <w:bottom w:val="single" w:sz="2" w:space="0" w:color="auto"/>
              <w:right w:val="nil"/>
            </w:tcBorders>
            <w:vAlign w:val="bottom"/>
          </w:tcPr>
          <w:p w:rsidR="0062697D" w:rsidRPr="00C66B91" w:rsidRDefault="0062697D" w:rsidP="0062697D">
            <w:pPr>
              <w:jc w:val="center"/>
              <w:rPr>
                <w:b/>
                <w:bCs/>
                <w:color w:val="000000"/>
                <w:sz w:val="22"/>
                <w:szCs w:val="22"/>
                <w:lang w:val="en-GB"/>
              </w:rPr>
            </w:pPr>
            <w:r w:rsidRPr="00C66B91">
              <w:rPr>
                <w:b/>
                <w:bCs/>
                <w:color w:val="000000"/>
                <w:sz w:val="22"/>
                <w:szCs w:val="22"/>
                <w:lang w:val="en-GB"/>
              </w:rPr>
              <w:t>31.12.2014</w:t>
            </w:r>
          </w:p>
        </w:tc>
      </w:tr>
      <w:tr w:rsidR="0062697D" w:rsidRPr="00C66B91" w:rsidTr="0062697D">
        <w:trPr>
          <w:trHeight w:val="300"/>
        </w:trPr>
        <w:tc>
          <w:tcPr>
            <w:tcW w:w="4111" w:type="dxa"/>
            <w:tcBorders>
              <w:top w:val="nil"/>
              <w:left w:val="nil"/>
              <w:bottom w:val="nil"/>
              <w:right w:val="nil"/>
            </w:tcBorders>
            <w:shd w:val="clear" w:color="auto" w:fill="auto"/>
            <w:noWrap/>
            <w:vAlign w:val="bottom"/>
            <w:hideMark/>
          </w:tcPr>
          <w:p w:rsidR="0062697D" w:rsidRPr="00C66B91" w:rsidRDefault="0062697D" w:rsidP="0062697D">
            <w:pPr>
              <w:jc w:val="center"/>
              <w:rPr>
                <w:b/>
                <w:bCs/>
                <w:color w:val="000000"/>
                <w:sz w:val="22"/>
                <w:szCs w:val="22"/>
                <w:lang w:val="en-GB"/>
              </w:rPr>
            </w:pPr>
          </w:p>
        </w:tc>
        <w:tc>
          <w:tcPr>
            <w:tcW w:w="1701" w:type="dxa"/>
            <w:tcBorders>
              <w:top w:val="nil"/>
              <w:left w:val="nil"/>
              <w:bottom w:val="nil"/>
              <w:right w:val="nil"/>
            </w:tcBorders>
            <w:shd w:val="clear" w:color="auto" w:fill="auto"/>
            <w:noWrap/>
            <w:vAlign w:val="bottom"/>
            <w:hideMark/>
          </w:tcPr>
          <w:p w:rsidR="0062697D" w:rsidRPr="00C66B91" w:rsidRDefault="0062697D" w:rsidP="0062697D">
            <w:pPr>
              <w:rPr>
                <w:sz w:val="22"/>
                <w:szCs w:val="22"/>
                <w:lang w:val="en-GB"/>
              </w:rPr>
            </w:pPr>
          </w:p>
        </w:tc>
        <w:tc>
          <w:tcPr>
            <w:tcW w:w="1559" w:type="dxa"/>
            <w:tcBorders>
              <w:top w:val="single" w:sz="2" w:space="0" w:color="auto"/>
              <w:left w:val="nil"/>
              <w:bottom w:val="nil"/>
              <w:right w:val="nil"/>
            </w:tcBorders>
            <w:shd w:val="clear" w:color="auto" w:fill="auto"/>
            <w:vAlign w:val="bottom"/>
            <w:hideMark/>
          </w:tcPr>
          <w:p w:rsidR="0062697D" w:rsidRPr="00C66B91" w:rsidRDefault="0062697D" w:rsidP="0062697D">
            <w:pPr>
              <w:jc w:val="center"/>
              <w:rPr>
                <w:b/>
                <w:color w:val="000000"/>
                <w:sz w:val="22"/>
                <w:szCs w:val="22"/>
                <w:lang w:val="en-GB"/>
              </w:rPr>
            </w:pPr>
            <w:r w:rsidRPr="00C66B91">
              <w:rPr>
                <w:b/>
                <w:color w:val="000000"/>
                <w:sz w:val="22"/>
                <w:szCs w:val="22"/>
                <w:lang w:val="en-GB"/>
              </w:rPr>
              <w:t>BGN’000</w:t>
            </w:r>
          </w:p>
        </w:tc>
        <w:tc>
          <w:tcPr>
            <w:tcW w:w="1701" w:type="dxa"/>
            <w:tcBorders>
              <w:top w:val="single" w:sz="2" w:space="0" w:color="auto"/>
              <w:left w:val="nil"/>
              <w:bottom w:val="nil"/>
              <w:right w:val="nil"/>
            </w:tcBorders>
            <w:vAlign w:val="bottom"/>
          </w:tcPr>
          <w:p w:rsidR="0062697D" w:rsidRPr="00C66B91" w:rsidRDefault="0062697D" w:rsidP="0062697D">
            <w:pPr>
              <w:jc w:val="center"/>
              <w:rPr>
                <w:b/>
                <w:color w:val="000000"/>
                <w:sz w:val="22"/>
                <w:szCs w:val="22"/>
                <w:lang w:val="en-GB"/>
              </w:rPr>
            </w:pPr>
            <w:r w:rsidRPr="00C66B91">
              <w:rPr>
                <w:b/>
                <w:color w:val="000000"/>
                <w:sz w:val="22"/>
                <w:szCs w:val="22"/>
                <w:lang w:val="en-GB"/>
              </w:rPr>
              <w:t>BGN’000</w:t>
            </w:r>
          </w:p>
        </w:tc>
      </w:tr>
      <w:tr w:rsidR="000F59A5" w:rsidRPr="00C66B91" w:rsidTr="0062697D">
        <w:trPr>
          <w:trHeight w:val="300"/>
        </w:trPr>
        <w:tc>
          <w:tcPr>
            <w:tcW w:w="4111" w:type="dxa"/>
            <w:tcBorders>
              <w:top w:val="nil"/>
              <w:left w:val="nil"/>
              <w:bottom w:val="nil"/>
              <w:right w:val="nil"/>
            </w:tcBorders>
            <w:shd w:val="clear" w:color="auto" w:fill="auto"/>
            <w:hideMark/>
          </w:tcPr>
          <w:p w:rsidR="000F59A5" w:rsidRPr="005E30E6" w:rsidRDefault="000F59A5" w:rsidP="000F59A5">
            <w:pPr>
              <w:rPr>
                <w:color w:val="000000"/>
                <w:sz w:val="22"/>
                <w:szCs w:val="22"/>
              </w:rPr>
            </w:pPr>
            <w:r w:rsidRPr="005E30E6">
              <w:rPr>
                <w:color w:val="000000"/>
                <w:sz w:val="22"/>
                <w:szCs w:val="22"/>
              </w:rPr>
              <w:t>Transbalkan group OOD</w:t>
            </w:r>
          </w:p>
        </w:tc>
        <w:tc>
          <w:tcPr>
            <w:tcW w:w="1701" w:type="dxa"/>
            <w:tcBorders>
              <w:top w:val="nil"/>
              <w:left w:val="nil"/>
              <w:bottom w:val="nil"/>
              <w:right w:val="nil"/>
            </w:tcBorders>
            <w:shd w:val="clear" w:color="auto" w:fill="auto"/>
            <w:hideMark/>
          </w:tcPr>
          <w:p w:rsidR="000F59A5" w:rsidRPr="005E30E6" w:rsidRDefault="000F59A5" w:rsidP="000F59A5">
            <w:pPr>
              <w:rPr>
                <w:color w:val="000000"/>
                <w:sz w:val="22"/>
                <w:szCs w:val="22"/>
              </w:rPr>
            </w:pPr>
            <w:r w:rsidRPr="005E30E6">
              <w:rPr>
                <w:color w:val="000000"/>
                <w:sz w:val="22"/>
                <w:szCs w:val="22"/>
              </w:rPr>
              <w:t xml:space="preserve">Services </w:t>
            </w:r>
          </w:p>
        </w:tc>
        <w:tc>
          <w:tcPr>
            <w:tcW w:w="1559" w:type="dxa"/>
            <w:tcBorders>
              <w:top w:val="nil"/>
              <w:left w:val="nil"/>
              <w:bottom w:val="nil"/>
              <w:right w:val="nil"/>
            </w:tcBorders>
            <w:shd w:val="clear" w:color="auto" w:fill="auto"/>
            <w:noWrap/>
            <w:tcMar>
              <w:right w:w="284" w:type="dxa"/>
            </w:tcMar>
            <w:hideMark/>
          </w:tcPr>
          <w:p w:rsidR="000F59A5" w:rsidRPr="00C66B91" w:rsidRDefault="000F59A5" w:rsidP="000F59A5">
            <w:pPr>
              <w:jc w:val="right"/>
              <w:rPr>
                <w:color w:val="000000"/>
                <w:sz w:val="22"/>
                <w:szCs w:val="22"/>
                <w:lang w:val="en-GB"/>
              </w:rPr>
            </w:pPr>
            <w:r w:rsidRPr="00C66B91">
              <w:rPr>
                <w:color w:val="000000"/>
                <w:sz w:val="22"/>
                <w:szCs w:val="22"/>
                <w:lang w:val="en-GB"/>
              </w:rPr>
              <w:t>403</w:t>
            </w:r>
          </w:p>
        </w:tc>
        <w:tc>
          <w:tcPr>
            <w:tcW w:w="1701" w:type="dxa"/>
            <w:tcBorders>
              <w:top w:val="nil"/>
              <w:left w:val="nil"/>
              <w:bottom w:val="nil"/>
              <w:right w:val="nil"/>
            </w:tcBorders>
          </w:tcPr>
          <w:p w:rsidR="000F59A5" w:rsidRPr="00C66B91" w:rsidRDefault="000F59A5" w:rsidP="000F59A5">
            <w:pPr>
              <w:jc w:val="right"/>
              <w:rPr>
                <w:color w:val="000000"/>
                <w:sz w:val="22"/>
                <w:szCs w:val="22"/>
                <w:lang w:val="en-GB"/>
              </w:rPr>
            </w:pPr>
            <w:r w:rsidRPr="00C66B91">
              <w:rPr>
                <w:color w:val="000000"/>
                <w:sz w:val="22"/>
                <w:szCs w:val="22"/>
                <w:lang w:val="en-GB"/>
              </w:rPr>
              <w:t>367</w:t>
            </w:r>
          </w:p>
        </w:tc>
      </w:tr>
      <w:tr w:rsidR="000F59A5" w:rsidRPr="00C66B91" w:rsidTr="0062697D">
        <w:trPr>
          <w:trHeight w:val="300"/>
        </w:trPr>
        <w:tc>
          <w:tcPr>
            <w:tcW w:w="4111" w:type="dxa"/>
            <w:tcBorders>
              <w:top w:val="nil"/>
              <w:left w:val="nil"/>
              <w:bottom w:val="nil"/>
              <w:right w:val="nil"/>
            </w:tcBorders>
            <w:shd w:val="clear" w:color="auto" w:fill="auto"/>
            <w:hideMark/>
          </w:tcPr>
          <w:p w:rsidR="000F59A5" w:rsidRPr="005E30E6" w:rsidRDefault="000F59A5" w:rsidP="000F59A5">
            <w:pPr>
              <w:rPr>
                <w:color w:val="000000"/>
                <w:sz w:val="22"/>
                <w:szCs w:val="22"/>
              </w:rPr>
            </w:pPr>
            <w:r w:rsidRPr="005E30E6">
              <w:rPr>
                <w:sz w:val="22"/>
                <w:szCs w:val="22"/>
              </w:rPr>
              <w:t>Omnicar Auto OOD</w:t>
            </w:r>
          </w:p>
        </w:tc>
        <w:tc>
          <w:tcPr>
            <w:tcW w:w="1701" w:type="dxa"/>
            <w:tcBorders>
              <w:top w:val="nil"/>
              <w:left w:val="nil"/>
              <w:bottom w:val="nil"/>
              <w:right w:val="nil"/>
            </w:tcBorders>
            <w:shd w:val="clear" w:color="auto" w:fill="auto"/>
            <w:hideMark/>
          </w:tcPr>
          <w:p w:rsidR="000F59A5" w:rsidRPr="005E30E6" w:rsidRDefault="000F59A5" w:rsidP="000F59A5">
            <w:pPr>
              <w:rPr>
                <w:color w:val="000000"/>
                <w:sz w:val="22"/>
                <w:szCs w:val="22"/>
              </w:rPr>
            </w:pPr>
            <w:r w:rsidRPr="005E30E6">
              <w:rPr>
                <w:color w:val="000000"/>
                <w:sz w:val="22"/>
                <w:szCs w:val="22"/>
              </w:rPr>
              <w:t>Services</w:t>
            </w:r>
          </w:p>
        </w:tc>
        <w:tc>
          <w:tcPr>
            <w:tcW w:w="1559" w:type="dxa"/>
            <w:tcBorders>
              <w:top w:val="nil"/>
              <w:left w:val="nil"/>
              <w:bottom w:val="nil"/>
              <w:right w:val="nil"/>
            </w:tcBorders>
            <w:shd w:val="clear" w:color="auto" w:fill="auto"/>
            <w:noWrap/>
            <w:tcMar>
              <w:right w:w="284" w:type="dxa"/>
            </w:tcMar>
            <w:hideMark/>
          </w:tcPr>
          <w:p w:rsidR="000F59A5" w:rsidRPr="00C66B91" w:rsidRDefault="000F59A5" w:rsidP="000F59A5">
            <w:pPr>
              <w:jc w:val="right"/>
              <w:rPr>
                <w:color w:val="000000"/>
                <w:sz w:val="22"/>
                <w:szCs w:val="22"/>
                <w:lang w:val="en-GB"/>
              </w:rPr>
            </w:pPr>
            <w:r w:rsidRPr="00C66B91">
              <w:rPr>
                <w:color w:val="000000"/>
                <w:sz w:val="22"/>
                <w:szCs w:val="22"/>
                <w:lang w:val="en-GB"/>
              </w:rPr>
              <w:t>380</w:t>
            </w:r>
          </w:p>
        </w:tc>
        <w:tc>
          <w:tcPr>
            <w:tcW w:w="1701" w:type="dxa"/>
            <w:tcBorders>
              <w:top w:val="nil"/>
              <w:left w:val="nil"/>
              <w:bottom w:val="nil"/>
              <w:right w:val="nil"/>
            </w:tcBorders>
          </w:tcPr>
          <w:p w:rsidR="000F59A5" w:rsidRPr="00C66B91" w:rsidRDefault="000F59A5" w:rsidP="000F59A5">
            <w:pPr>
              <w:jc w:val="right"/>
              <w:rPr>
                <w:color w:val="000000"/>
                <w:sz w:val="22"/>
                <w:szCs w:val="22"/>
                <w:lang w:val="en-GB"/>
              </w:rPr>
            </w:pPr>
            <w:r w:rsidRPr="00C66B91">
              <w:rPr>
                <w:color w:val="000000"/>
                <w:sz w:val="22"/>
                <w:szCs w:val="22"/>
                <w:lang w:val="en-GB"/>
              </w:rPr>
              <w:t>423</w:t>
            </w:r>
          </w:p>
        </w:tc>
      </w:tr>
      <w:tr w:rsidR="000F59A5" w:rsidRPr="00C66B91" w:rsidTr="0062697D">
        <w:trPr>
          <w:trHeight w:val="300"/>
        </w:trPr>
        <w:tc>
          <w:tcPr>
            <w:tcW w:w="4111" w:type="dxa"/>
            <w:tcBorders>
              <w:top w:val="nil"/>
              <w:left w:val="nil"/>
              <w:bottom w:val="nil"/>
              <w:right w:val="nil"/>
            </w:tcBorders>
            <w:shd w:val="clear" w:color="auto" w:fill="auto"/>
            <w:hideMark/>
          </w:tcPr>
          <w:p w:rsidR="000F59A5" w:rsidRPr="005E30E6" w:rsidRDefault="000F59A5" w:rsidP="000F59A5">
            <w:pPr>
              <w:rPr>
                <w:color w:val="000000"/>
                <w:sz w:val="22"/>
                <w:szCs w:val="22"/>
              </w:rPr>
            </w:pPr>
            <w:r w:rsidRPr="005E30E6">
              <w:rPr>
                <w:color w:val="000000"/>
                <w:sz w:val="22"/>
                <w:szCs w:val="22"/>
              </w:rPr>
              <w:t>Dragomir Winery Estate OOD</w:t>
            </w:r>
          </w:p>
        </w:tc>
        <w:tc>
          <w:tcPr>
            <w:tcW w:w="1701" w:type="dxa"/>
            <w:tcBorders>
              <w:top w:val="nil"/>
              <w:left w:val="nil"/>
              <w:bottom w:val="nil"/>
              <w:right w:val="nil"/>
            </w:tcBorders>
            <w:shd w:val="clear" w:color="auto" w:fill="auto"/>
            <w:hideMark/>
          </w:tcPr>
          <w:p w:rsidR="000F59A5" w:rsidRPr="005E30E6" w:rsidRDefault="000F59A5" w:rsidP="000F59A5">
            <w:pPr>
              <w:rPr>
                <w:color w:val="000000"/>
                <w:sz w:val="22"/>
                <w:szCs w:val="22"/>
              </w:rPr>
            </w:pPr>
            <w:r w:rsidRPr="005E30E6">
              <w:rPr>
                <w:color w:val="000000"/>
                <w:sz w:val="22"/>
                <w:szCs w:val="22"/>
              </w:rPr>
              <w:t>Services</w:t>
            </w:r>
          </w:p>
        </w:tc>
        <w:tc>
          <w:tcPr>
            <w:tcW w:w="1559" w:type="dxa"/>
            <w:tcBorders>
              <w:top w:val="nil"/>
              <w:left w:val="nil"/>
              <w:bottom w:val="nil"/>
              <w:right w:val="nil"/>
            </w:tcBorders>
            <w:shd w:val="clear" w:color="auto" w:fill="auto"/>
            <w:noWrap/>
            <w:tcMar>
              <w:right w:w="284" w:type="dxa"/>
            </w:tcMar>
            <w:hideMark/>
          </w:tcPr>
          <w:p w:rsidR="000F59A5" w:rsidRPr="00C66B91" w:rsidRDefault="000F59A5" w:rsidP="000F59A5">
            <w:pPr>
              <w:jc w:val="right"/>
              <w:rPr>
                <w:color w:val="000000"/>
                <w:sz w:val="22"/>
                <w:szCs w:val="22"/>
                <w:lang w:val="en-GB"/>
              </w:rPr>
            </w:pPr>
            <w:r w:rsidRPr="00C66B91">
              <w:rPr>
                <w:color w:val="000000"/>
                <w:sz w:val="22"/>
                <w:szCs w:val="22"/>
                <w:lang w:val="en-GB"/>
              </w:rPr>
              <w:t>32</w:t>
            </w:r>
          </w:p>
        </w:tc>
        <w:tc>
          <w:tcPr>
            <w:tcW w:w="1701" w:type="dxa"/>
            <w:tcBorders>
              <w:top w:val="nil"/>
              <w:left w:val="nil"/>
              <w:bottom w:val="nil"/>
              <w:right w:val="nil"/>
            </w:tcBorders>
          </w:tcPr>
          <w:p w:rsidR="000F59A5" w:rsidRPr="00C66B91" w:rsidRDefault="000F59A5" w:rsidP="000F59A5">
            <w:pPr>
              <w:jc w:val="right"/>
              <w:rPr>
                <w:color w:val="000000"/>
                <w:sz w:val="22"/>
                <w:szCs w:val="22"/>
                <w:lang w:val="en-GB"/>
              </w:rPr>
            </w:pPr>
            <w:r w:rsidRPr="00C66B91">
              <w:rPr>
                <w:color w:val="000000"/>
                <w:sz w:val="22"/>
                <w:szCs w:val="22"/>
                <w:lang w:val="en-GB"/>
              </w:rPr>
              <w:t>46</w:t>
            </w:r>
          </w:p>
        </w:tc>
      </w:tr>
      <w:tr w:rsidR="000F59A5" w:rsidRPr="00C66B91" w:rsidTr="0062697D">
        <w:trPr>
          <w:trHeight w:val="300"/>
        </w:trPr>
        <w:tc>
          <w:tcPr>
            <w:tcW w:w="4111" w:type="dxa"/>
            <w:tcBorders>
              <w:top w:val="nil"/>
              <w:left w:val="nil"/>
              <w:bottom w:val="nil"/>
              <w:right w:val="nil"/>
            </w:tcBorders>
            <w:shd w:val="clear" w:color="auto" w:fill="auto"/>
            <w:hideMark/>
          </w:tcPr>
          <w:p w:rsidR="000F59A5" w:rsidRPr="005E30E6" w:rsidRDefault="000F59A5" w:rsidP="000F59A5">
            <w:pPr>
              <w:rPr>
                <w:color w:val="000000"/>
                <w:sz w:val="22"/>
                <w:szCs w:val="22"/>
              </w:rPr>
            </w:pPr>
            <w:r w:rsidRPr="005E30E6">
              <w:rPr>
                <w:color w:val="000000"/>
                <w:sz w:val="22"/>
                <w:szCs w:val="22"/>
              </w:rPr>
              <w:t>Transbalkan group Romania</w:t>
            </w:r>
          </w:p>
        </w:tc>
        <w:tc>
          <w:tcPr>
            <w:tcW w:w="1701" w:type="dxa"/>
            <w:tcBorders>
              <w:top w:val="nil"/>
              <w:left w:val="nil"/>
              <w:bottom w:val="nil"/>
              <w:right w:val="nil"/>
            </w:tcBorders>
            <w:shd w:val="clear" w:color="auto" w:fill="auto"/>
            <w:hideMark/>
          </w:tcPr>
          <w:p w:rsidR="000F59A5" w:rsidRPr="005E30E6" w:rsidRDefault="000F59A5" w:rsidP="000F59A5">
            <w:pPr>
              <w:rPr>
                <w:color w:val="000000"/>
                <w:sz w:val="22"/>
                <w:szCs w:val="22"/>
              </w:rPr>
            </w:pPr>
            <w:r w:rsidRPr="005E30E6">
              <w:rPr>
                <w:color w:val="000000"/>
                <w:sz w:val="22"/>
                <w:szCs w:val="22"/>
              </w:rPr>
              <w:t>Services</w:t>
            </w:r>
          </w:p>
        </w:tc>
        <w:tc>
          <w:tcPr>
            <w:tcW w:w="1559" w:type="dxa"/>
            <w:tcBorders>
              <w:top w:val="nil"/>
              <w:left w:val="nil"/>
              <w:bottom w:val="nil"/>
              <w:right w:val="nil"/>
            </w:tcBorders>
            <w:shd w:val="clear" w:color="auto" w:fill="auto"/>
            <w:noWrap/>
            <w:tcMar>
              <w:right w:w="284" w:type="dxa"/>
            </w:tcMar>
            <w:hideMark/>
          </w:tcPr>
          <w:p w:rsidR="000F59A5" w:rsidRPr="00C66B91" w:rsidRDefault="000F59A5" w:rsidP="000F59A5">
            <w:pPr>
              <w:jc w:val="right"/>
              <w:rPr>
                <w:color w:val="000000"/>
                <w:sz w:val="22"/>
                <w:szCs w:val="22"/>
                <w:lang w:val="en-GB"/>
              </w:rPr>
            </w:pPr>
            <w:r w:rsidRPr="00C66B91">
              <w:rPr>
                <w:color w:val="000000"/>
                <w:sz w:val="22"/>
                <w:szCs w:val="22"/>
                <w:lang w:val="en-GB"/>
              </w:rPr>
              <w:t>38</w:t>
            </w:r>
          </w:p>
        </w:tc>
        <w:tc>
          <w:tcPr>
            <w:tcW w:w="1701" w:type="dxa"/>
            <w:tcBorders>
              <w:top w:val="nil"/>
              <w:left w:val="nil"/>
              <w:bottom w:val="nil"/>
              <w:right w:val="nil"/>
            </w:tcBorders>
          </w:tcPr>
          <w:p w:rsidR="000F59A5" w:rsidRPr="00C66B91" w:rsidRDefault="000F59A5" w:rsidP="000F59A5">
            <w:pPr>
              <w:jc w:val="right"/>
              <w:rPr>
                <w:color w:val="000000"/>
                <w:sz w:val="22"/>
                <w:szCs w:val="22"/>
                <w:lang w:val="en-GB"/>
              </w:rPr>
            </w:pPr>
            <w:r w:rsidRPr="00C66B91">
              <w:rPr>
                <w:color w:val="000000"/>
                <w:sz w:val="22"/>
                <w:szCs w:val="22"/>
                <w:lang w:val="en-GB"/>
              </w:rPr>
              <w:t>38</w:t>
            </w:r>
          </w:p>
        </w:tc>
      </w:tr>
      <w:tr w:rsidR="000F59A5" w:rsidRPr="00C66B91" w:rsidTr="0062697D">
        <w:trPr>
          <w:trHeight w:val="300"/>
        </w:trPr>
        <w:tc>
          <w:tcPr>
            <w:tcW w:w="4111" w:type="dxa"/>
            <w:tcBorders>
              <w:top w:val="nil"/>
              <w:left w:val="nil"/>
              <w:bottom w:val="nil"/>
              <w:right w:val="nil"/>
            </w:tcBorders>
            <w:shd w:val="clear" w:color="auto" w:fill="auto"/>
            <w:hideMark/>
          </w:tcPr>
          <w:p w:rsidR="000F59A5" w:rsidRPr="005E30E6" w:rsidRDefault="000F59A5" w:rsidP="000F59A5">
            <w:pPr>
              <w:rPr>
                <w:color w:val="000000"/>
                <w:sz w:val="22"/>
                <w:szCs w:val="22"/>
              </w:rPr>
            </w:pPr>
            <w:r w:rsidRPr="005E30E6">
              <w:rPr>
                <w:color w:val="000000"/>
                <w:sz w:val="22"/>
                <w:szCs w:val="22"/>
              </w:rPr>
              <w:t>Omnicar BG EOOD</w:t>
            </w:r>
          </w:p>
        </w:tc>
        <w:tc>
          <w:tcPr>
            <w:tcW w:w="1701" w:type="dxa"/>
            <w:tcBorders>
              <w:top w:val="nil"/>
              <w:left w:val="nil"/>
              <w:bottom w:val="nil"/>
              <w:right w:val="nil"/>
            </w:tcBorders>
            <w:shd w:val="clear" w:color="auto" w:fill="auto"/>
            <w:hideMark/>
          </w:tcPr>
          <w:p w:rsidR="000F59A5" w:rsidRPr="005E30E6" w:rsidRDefault="000F59A5" w:rsidP="000F59A5">
            <w:pPr>
              <w:rPr>
                <w:color w:val="000000"/>
                <w:sz w:val="22"/>
                <w:szCs w:val="22"/>
              </w:rPr>
            </w:pPr>
            <w:r w:rsidRPr="005E30E6">
              <w:rPr>
                <w:color w:val="000000"/>
                <w:sz w:val="22"/>
                <w:szCs w:val="22"/>
              </w:rPr>
              <w:t>Services</w:t>
            </w:r>
          </w:p>
        </w:tc>
        <w:tc>
          <w:tcPr>
            <w:tcW w:w="1559" w:type="dxa"/>
            <w:tcBorders>
              <w:top w:val="nil"/>
              <w:left w:val="nil"/>
              <w:bottom w:val="nil"/>
              <w:right w:val="nil"/>
            </w:tcBorders>
            <w:shd w:val="clear" w:color="auto" w:fill="auto"/>
            <w:noWrap/>
            <w:tcMar>
              <w:right w:w="284" w:type="dxa"/>
            </w:tcMar>
            <w:hideMark/>
          </w:tcPr>
          <w:p w:rsidR="000F59A5" w:rsidRPr="00C66B91" w:rsidRDefault="000F59A5" w:rsidP="000F59A5">
            <w:pPr>
              <w:jc w:val="right"/>
              <w:rPr>
                <w:color w:val="000000"/>
                <w:sz w:val="22"/>
                <w:szCs w:val="22"/>
                <w:lang w:val="en-GB"/>
              </w:rPr>
            </w:pPr>
            <w:r w:rsidRPr="00C66B91">
              <w:rPr>
                <w:color w:val="000000"/>
                <w:sz w:val="22"/>
                <w:szCs w:val="22"/>
                <w:lang w:val="en-GB"/>
              </w:rPr>
              <w:t>47</w:t>
            </w:r>
          </w:p>
        </w:tc>
        <w:tc>
          <w:tcPr>
            <w:tcW w:w="1701" w:type="dxa"/>
            <w:tcBorders>
              <w:top w:val="nil"/>
              <w:left w:val="nil"/>
              <w:bottom w:val="nil"/>
              <w:right w:val="nil"/>
            </w:tcBorders>
          </w:tcPr>
          <w:p w:rsidR="000F59A5" w:rsidRPr="00C66B91" w:rsidRDefault="000F59A5" w:rsidP="000F59A5">
            <w:pPr>
              <w:jc w:val="right"/>
              <w:rPr>
                <w:color w:val="000000"/>
                <w:sz w:val="22"/>
                <w:szCs w:val="22"/>
                <w:lang w:val="en-GB"/>
              </w:rPr>
            </w:pPr>
            <w:r w:rsidRPr="00C66B91">
              <w:rPr>
                <w:color w:val="000000"/>
                <w:sz w:val="22"/>
                <w:szCs w:val="22"/>
                <w:lang w:val="en-GB"/>
              </w:rPr>
              <w:t>34</w:t>
            </w:r>
          </w:p>
        </w:tc>
      </w:tr>
      <w:tr w:rsidR="000F59A5" w:rsidRPr="00C66B91" w:rsidTr="0062697D">
        <w:trPr>
          <w:trHeight w:val="315"/>
        </w:trPr>
        <w:tc>
          <w:tcPr>
            <w:tcW w:w="4111" w:type="dxa"/>
            <w:tcBorders>
              <w:top w:val="nil"/>
              <w:left w:val="nil"/>
              <w:bottom w:val="nil"/>
              <w:right w:val="nil"/>
            </w:tcBorders>
            <w:shd w:val="clear" w:color="auto" w:fill="auto"/>
            <w:vAlign w:val="bottom"/>
            <w:hideMark/>
          </w:tcPr>
          <w:p w:rsidR="000F59A5" w:rsidRPr="005E30E6" w:rsidRDefault="000F59A5" w:rsidP="000F59A5">
            <w:pPr>
              <w:jc w:val="right"/>
              <w:rPr>
                <w:b/>
                <w:bCs/>
                <w:color w:val="000000"/>
                <w:sz w:val="22"/>
                <w:szCs w:val="22"/>
              </w:rPr>
            </w:pPr>
            <w:r w:rsidRPr="005E30E6">
              <w:rPr>
                <w:b/>
                <w:bCs/>
                <w:color w:val="000000"/>
                <w:sz w:val="22"/>
                <w:szCs w:val="22"/>
              </w:rPr>
              <w:t>Total</w:t>
            </w:r>
          </w:p>
        </w:tc>
        <w:tc>
          <w:tcPr>
            <w:tcW w:w="1701" w:type="dxa"/>
            <w:tcBorders>
              <w:top w:val="nil"/>
              <w:left w:val="nil"/>
              <w:bottom w:val="nil"/>
              <w:right w:val="nil"/>
            </w:tcBorders>
            <w:shd w:val="clear" w:color="auto" w:fill="auto"/>
            <w:hideMark/>
          </w:tcPr>
          <w:p w:rsidR="000F59A5" w:rsidRPr="005E30E6" w:rsidRDefault="000F59A5" w:rsidP="000F59A5">
            <w:pPr>
              <w:jc w:val="right"/>
              <w:rPr>
                <w:b/>
                <w:bCs/>
                <w:color w:val="000000"/>
                <w:sz w:val="22"/>
                <w:szCs w:val="22"/>
              </w:rPr>
            </w:pPr>
          </w:p>
        </w:tc>
        <w:tc>
          <w:tcPr>
            <w:tcW w:w="1559" w:type="dxa"/>
            <w:tcBorders>
              <w:top w:val="single" w:sz="2" w:space="0" w:color="auto"/>
              <w:left w:val="nil"/>
              <w:bottom w:val="double" w:sz="6" w:space="0" w:color="auto"/>
              <w:right w:val="nil"/>
            </w:tcBorders>
            <w:shd w:val="clear" w:color="auto" w:fill="auto"/>
            <w:noWrap/>
            <w:tcMar>
              <w:right w:w="284" w:type="dxa"/>
            </w:tcMar>
            <w:vAlign w:val="bottom"/>
            <w:hideMark/>
          </w:tcPr>
          <w:p w:rsidR="000F59A5" w:rsidRPr="00C66B91" w:rsidRDefault="000F59A5" w:rsidP="000F59A5">
            <w:pPr>
              <w:jc w:val="right"/>
              <w:rPr>
                <w:b/>
                <w:bCs/>
                <w:color w:val="000000"/>
                <w:sz w:val="22"/>
                <w:szCs w:val="22"/>
                <w:lang w:val="en-GB"/>
              </w:rPr>
            </w:pPr>
            <w:r w:rsidRPr="00C66B91">
              <w:rPr>
                <w:b/>
                <w:bCs/>
                <w:color w:val="000000"/>
                <w:sz w:val="22"/>
                <w:szCs w:val="22"/>
                <w:lang w:val="en-GB"/>
              </w:rPr>
              <w:t>900</w:t>
            </w:r>
          </w:p>
        </w:tc>
        <w:tc>
          <w:tcPr>
            <w:tcW w:w="1701" w:type="dxa"/>
            <w:tcBorders>
              <w:top w:val="single" w:sz="2" w:space="0" w:color="auto"/>
              <w:left w:val="nil"/>
              <w:bottom w:val="double" w:sz="6" w:space="0" w:color="auto"/>
              <w:right w:val="nil"/>
            </w:tcBorders>
            <w:vAlign w:val="bottom"/>
          </w:tcPr>
          <w:p w:rsidR="000F59A5" w:rsidRPr="00C66B91" w:rsidRDefault="000F59A5" w:rsidP="000F59A5">
            <w:pPr>
              <w:jc w:val="right"/>
              <w:rPr>
                <w:b/>
                <w:bCs/>
                <w:color w:val="000000"/>
                <w:sz w:val="22"/>
                <w:szCs w:val="22"/>
                <w:lang w:val="en-GB"/>
              </w:rPr>
            </w:pPr>
            <w:r w:rsidRPr="00C66B91">
              <w:rPr>
                <w:b/>
                <w:bCs/>
                <w:color w:val="000000"/>
                <w:sz w:val="22"/>
                <w:szCs w:val="22"/>
                <w:lang w:val="en-GB"/>
              </w:rPr>
              <w:t>908</w:t>
            </w:r>
          </w:p>
        </w:tc>
      </w:tr>
    </w:tbl>
    <w:p w:rsidR="00E922D1" w:rsidRPr="00C66B91" w:rsidRDefault="00E922D1" w:rsidP="00E922D1">
      <w:pPr>
        <w:jc w:val="both"/>
        <w:rPr>
          <w:sz w:val="22"/>
          <w:szCs w:val="22"/>
          <w:lang w:val="en-GB"/>
        </w:rPr>
      </w:pPr>
    </w:p>
    <w:p w:rsidR="000F59A5" w:rsidRPr="005E30E6" w:rsidRDefault="000F59A5" w:rsidP="000F59A5">
      <w:pPr>
        <w:numPr>
          <w:ilvl w:val="12"/>
          <w:numId w:val="0"/>
        </w:numPr>
        <w:jc w:val="both"/>
        <w:rPr>
          <w:sz w:val="22"/>
          <w:szCs w:val="22"/>
        </w:rPr>
      </w:pPr>
      <w:r w:rsidRPr="005E30E6">
        <w:rPr>
          <w:sz w:val="22"/>
          <w:szCs w:val="22"/>
        </w:rPr>
        <w:t>The Group has the following payables to related parties:</w:t>
      </w:r>
    </w:p>
    <w:p w:rsidR="00E922D1" w:rsidRPr="00C66B91" w:rsidRDefault="00E922D1" w:rsidP="00E922D1">
      <w:pPr>
        <w:numPr>
          <w:ilvl w:val="12"/>
          <w:numId w:val="0"/>
        </w:numPr>
        <w:jc w:val="both"/>
        <w:rPr>
          <w:sz w:val="22"/>
          <w:szCs w:val="22"/>
          <w:lang w:val="en-GB"/>
        </w:rPr>
      </w:pPr>
    </w:p>
    <w:tbl>
      <w:tblPr>
        <w:tblW w:w="9072" w:type="dxa"/>
        <w:tblInd w:w="70" w:type="dxa"/>
        <w:tblCellMar>
          <w:left w:w="70" w:type="dxa"/>
          <w:right w:w="70" w:type="dxa"/>
        </w:tblCellMar>
        <w:tblLook w:val="04A0" w:firstRow="1" w:lastRow="0" w:firstColumn="1" w:lastColumn="0" w:noHBand="0" w:noVBand="1"/>
      </w:tblPr>
      <w:tblGrid>
        <w:gridCol w:w="4111"/>
        <w:gridCol w:w="1701"/>
        <w:gridCol w:w="1701"/>
        <w:gridCol w:w="1559"/>
      </w:tblGrid>
      <w:tr w:rsidR="00344723" w:rsidRPr="00C66B91" w:rsidTr="00344723">
        <w:trPr>
          <w:trHeight w:val="315"/>
        </w:trPr>
        <w:tc>
          <w:tcPr>
            <w:tcW w:w="4111" w:type="dxa"/>
            <w:tcBorders>
              <w:top w:val="nil"/>
              <w:left w:val="nil"/>
              <w:bottom w:val="nil"/>
              <w:right w:val="nil"/>
            </w:tcBorders>
            <w:shd w:val="clear" w:color="auto" w:fill="auto"/>
            <w:noWrap/>
            <w:vAlign w:val="bottom"/>
            <w:hideMark/>
          </w:tcPr>
          <w:p w:rsidR="00344723" w:rsidRPr="00C66B91" w:rsidRDefault="00344723" w:rsidP="00344723">
            <w:pPr>
              <w:rPr>
                <w:sz w:val="22"/>
                <w:szCs w:val="22"/>
                <w:lang w:val="en-GB" w:eastAsia="bg-BG"/>
              </w:rPr>
            </w:pPr>
          </w:p>
        </w:tc>
        <w:tc>
          <w:tcPr>
            <w:tcW w:w="1701" w:type="dxa"/>
            <w:tcBorders>
              <w:top w:val="nil"/>
              <w:left w:val="nil"/>
              <w:bottom w:val="nil"/>
              <w:right w:val="nil"/>
            </w:tcBorders>
            <w:shd w:val="clear" w:color="auto" w:fill="auto"/>
            <w:noWrap/>
            <w:vAlign w:val="bottom"/>
            <w:hideMark/>
          </w:tcPr>
          <w:p w:rsidR="00344723" w:rsidRPr="00C66B91" w:rsidRDefault="00344723" w:rsidP="00344723">
            <w:pPr>
              <w:rPr>
                <w:sz w:val="22"/>
                <w:szCs w:val="22"/>
                <w:lang w:val="en-GB"/>
              </w:rPr>
            </w:pPr>
          </w:p>
        </w:tc>
        <w:tc>
          <w:tcPr>
            <w:tcW w:w="1701" w:type="dxa"/>
            <w:tcBorders>
              <w:top w:val="nil"/>
              <w:left w:val="nil"/>
              <w:bottom w:val="single" w:sz="2" w:space="0" w:color="auto"/>
              <w:right w:val="nil"/>
            </w:tcBorders>
            <w:shd w:val="clear" w:color="auto" w:fill="auto"/>
            <w:vAlign w:val="bottom"/>
            <w:hideMark/>
          </w:tcPr>
          <w:p w:rsidR="00344723" w:rsidRPr="00C66B91" w:rsidRDefault="008A588E" w:rsidP="00344723">
            <w:pPr>
              <w:jc w:val="center"/>
              <w:rPr>
                <w:b/>
                <w:bCs/>
                <w:color w:val="000000"/>
                <w:sz w:val="22"/>
                <w:szCs w:val="22"/>
                <w:lang w:val="en-GB"/>
              </w:rPr>
            </w:pPr>
            <w:r w:rsidRPr="00C66B91">
              <w:rPr>
                <w:b/>
                <w:bCs/>
                <w:color w:val="000000"/>
                <w:sz w:val="22"/>
                <w:szCs w:val="22"/>
                <w:lang w:val="en-GB"/>
              </w:rPr>
              <w:t>30.06</w:t>
            </w:r>
            <w:r w:rsidR="00344723" w:rsidRPr="00C66B91">
              <w:rPr>
                <w:b/>
                <w:bCs/>
                <w:color w:val="000000"/>
                <w:sz w:val="22"/>
                <w:szCs w:val="22"/>
                <w:lang w:val="en-GB"/>
              </w:rPr>
              <w:t>.2015</w:t>
            </w:r>
          </w:p>
        </w:tc>
        <w:tc>
          <w:tcPr>
            <w:tcW w:w="1559" w:type="dxa"/>
            <w:tcBorders>
              <w:top w:val="nil"/>
              <w:left w:val="nil"/>
              <w:bottom w:val="single" w:sz="2" w:space="0" w:color="auto"/>
              <w:right w:val="nil"/>
            </w:tcBorders>
            <w:vAlign w:val="bottom"/>
          </w:tcPr>
          <w:p w:rsidR="00344723" w:rsidRPr="00C66B91" w:rsidRDefault="00344723" w:rsidP="00344723">
            <w:pPr>
              <w:jc w:val="center"/>
              <w:rPr>
                <w:b/>
                <w:bCs/>
                <w:color w:val="000000"/>
                <w:sz w:val="22"/>
                <w:szCs w:val="22"/>
                <w:lang w:val="en-GB"/>
              </w:rPr>
            </w:pPr>
            <w:r w:rsidRPr="00C66B91">
              <w:rPr>
                <w:b/>
                <w:bCs/>
                <w:color w:val="000000"/>
                <w:sz w:val="22"/>
                <w:szCs w:val="22"/>
                <w:lang w:val="en-GB"/>
              </w:rPr>
              <w:t>31.12.2014</w:t>
            </w:r>
          </w:p>
        </w:tc>
      </w:tr>
      <w:tr w:rsidR="00344723" w:rsidRPr="00C66B91" w:rsidTr="00344723">
        <w:trPr>
          <w:trHeight w:val="300"/>
        </w:trPr>
        <w:tc>
          <w:tcPr>
            <w:tcW w:w="4111" w:type="dxa"/>
            <w:tcBorders>
              <w:top w:val="nil"/>
              <w:left w:val="nil"/>
              <w:bottom w:val="nil"/>
              <w:right w:val="nil"/>
            </w:tcBorders>
            <w:shd w:val="clear" w:color="auto" w:fill="auto"/>
            <w:noWrap/>
            <w:vAlign w:val="bottom"/>
            <w:hideMark/>
          </w:tcPr>
          <w:p w:rsidR="00344723" w:rsidRPr="00C66B91" w:rsidRDefault="00344723" w:rsidP="00344723">
            <w:pPr>
              <w:jc w:val="center"/>
              <w:rPr>
                <w:b/>
                <w:bCs/>
                <w:color w:val="000000"/>
                <w:sz w:val="22"/>
                <w:szCs w:val="22"/>
                <w:lang w:val="en-GB"/>
              </w:rPr>
            </w:pPr>
          </w:p>
        </w:tc>
        <w:tc>
          <w:tcPr>
            <w:tcW w:w="1701" w:type="dxa"/>
            <w:tcBorders>
              <w:top w:val="nil"/>
              <w:left w:val="nil"/>
              <w:bottom w:val="nil"/>
              <w:right w:val="nil"/>
            </w:tcBorders>
            <w:shd w:val="clear" w:color="auto" w:fill="auto"/>
            <w:noWrap/>
            <w:vAlign w:val="bottom"/>
            <w:hideMark/>
          </w:tcPr>
          <w:p w:rsidR="00344723" w:rsidRPr="00C66B91" w:rsidRDefault="00344723" w:rsidP="00344723">
            <w:pPr>
              <w:rPr>
                <w:sz w:val="22"/>
                <w:szCs w:val="22"/>
                <w:lang w:val="en-GB"/>
              </w:rPr>
            </w:pPr>
          </w:p>
        </w:tc>
        <w:tc>
          <w:tcPr>
            <w:tcW w:w="1701" w:type="dxa"/>
            <w:tcBorders>
              <w:top w:val="single" w:sz="2" w:space="0" w:color="auto"/>
              <w:left w:val="nil"/>
              <w:bottom w:val="nil"/>
              <w:right w:val="nil"/>
            </w:tcBorders>
            <w:shd w:val="clear" w:color="auto" w:fill="auto"/>
            <w:vAlign w:val="bottom"/>
            <w:hideMark/>
          </w:tcPr>
          <w:p w:rsidR="00344723" w:rsidRPr="00C66B91" w:rsidRDefault="00344723" w:rsidP="00344723">
            <w:pPr>
              <w:jc w:val="center"/>
              <w:rPr>
                <w:b/>
                <w:color w:val="000000"/>
                <w:sz w:val="22"/>
                <w:szCs w:val="22"/>
                <w:lang w:val="en-GB"/>
              </w:rPr>
            </w:pPr>
            <w:r w:rsidRPr="00C66B91">
              <w:rPr>
                <w:b/>
                <w:color w:val="000000"/>
                <w:sz w:val="22"/>
                <w:szCs w:val="22"/>
                <w:lang w:val="en-GB"/>
              </w:rPr>
              <w:t>BGN’000</w:t>
            </w:r>
          </w:p>
        </w:tc>
        <w:tc>
          <w:tcPr>
            <w:tcW w:w="1559" w:type="dxa"/>
            <w:tcBorders>
              <w:top w:val="single" w:sz="2" w:space="0" w:color="auto"/>
              <w:left w:val="nil"/>
              <w:bottom w:val="nil"/>
              <w:right w:val="nil"/>
            </w:tcBorders>
            <w:vAlign w:val="bottom"/>
          </w:tcPr>
          <w:p w:rsidR="00344723" w:rsidRPr="00C66B91" w:rsidRDefault="00344723" w:rsidP="00344723">
            <w:pPr>
              <w:jc w:val="center"/>
              <w:rPr>
                <w:b/>
                <w:color w:val="000000"/>
                <w:sz w:val="22"/>
                <w:szCs w:val="22"/>
                <w:lang w:val="en-GB"/>
              </w:rPr>
            </w:pPr>
            <w:r w:rsidRPr="00C66B91">
              <w:rPr>
                <w:b/>
                <w:color w:val="000000"/>
                <w:sz w:val="22"/>
                <w:szCs w:val="22"/>
                <w:lang w:val="en-GB"/>
              </w:rPr>
              <w:t>BGN’000</w:t>
            </w:r>
          </w:p>
        </w:tc>
      </w:tr>
      <w:tr w:rsidR="00344723" w:rsidRPr="00C66B91" w:rsidTr="00344723">
        <w:trPr>
          <w:trHeight w:val="300"/>
        </w:trPr>
        <w:tc>
          <w:tcPr>
            <w:tcW w:w="4111" w:type="dxa"/>
            <w:tcBorders>
              <w:top w:val="nil"/>
              <w:left w:val="nil"/>
              <w:bottom w:val="nil"/>
              <w:right w:val="nil"/>
            </w:tcBorders>
            <w:shd w:val="clear" w:color="auto" w:fill="auto"/>
            <w:vAlign w:val="bottom"/>
            <w:hideMark/>
          </w:tcPr>
          <w:p w:rsidR="00344723" w:rsidRPr="00C66B91" w:rsidRDefault="00344723" w:rsidP="00344723">
            <w:pPr>
              <w:jc w:val="center"/>
              <w:rPr>
                <w:color w:val="000000"/>
                <w:sz w:val="22"/>
                <w:szCs w:val="22"/>
                <w:lang w:val="en-GB"/>
              </w:rPr>
            </w:pPr>
          </w:p>
        </w:tc>
        <w:tc>
          <w:tcPr>
            <w:tcW w:w="1701" w:type="dxa"/>
            <w:tcBorders>
              <w:top w:val="nil"/>
              <w:left w:val="nil"/>
              <w:bottom w:val="nil"/>
              <w:right w:val="nil"/>
            </w:tcBorders>
            <w:shd w:val="clear" w:color="auto" w:fill="auto"/>
            <w:vAlign w:val="bottom"/>
            <w:hideMark/>
          </w:tcPr>
          <w:p w:rsidR="00344723" w:rsidRPr="00C66B91" w:rsidRDefault="00344723" w:rsidP="00344723">
            <w:pPr>
              <w:rPr>
                <w:sz w:val="22"/>
                <w:szCs w:val="22"/>
                <w:lang w:val="en-GB"/>
              </w:rPr>
            </w:pPr>
          </w:p>
        </w:tc>
        <w:tc>
          <w:tcPr>
            <w:tcW w:w="1701" w:type="dxa"/>
            <w:tcBorders>
              <w:top w:val="nil"/>
              <w:left w:val="nil"/>
              <w:bottom w:val="nil"/>
              <w:right w:val="nil"/>
            </w:tcBorders>
            <w:shd w:val="clear" w:color="auto" w:fill="auto"/>
            <w:noWrap/>
            <w:vAlign w:val="bottom"/>
            <w:hideMark/>
          </w:tcPr>
          <w:p w:rsidR="00344723" w:rsidRPr="00C66B91" w:rsidRDefault="00344723" w:rsidP="00344723">
            <w:pPr>
              <w:rPr>
                <w:sz w:val="22"/>
                <w:szCs w:val="22"/>
                <w:lang w:val="en-GB"/>
              </w:rPr>
            </w:pPr>
          </w:p>
        </w:tc>
        <w:tc>
          <w:tcPr>
            <w:tcW w:w="1559" w:type="dxa"/>
            <w:tcBorders>
              <w:top w:val="nil"/>
              <w:left w:val="nil"/>
              <w:bottom w:val="nil"/>
              <w:right w:val="nil"/>
            </w:tcBorders>
            <w:vAlign w:val="bottom"/>
          </w:tcPr>
          <w:p w:rsidR="00344723" w:rsidRPr="00C66B91" w:rsidRDefault="00344723" w:rsidP="00344723">
            <w:pPr>
              <w:rPr>
                <w:sz w:val="22"/>
                <w:szCs w:val="22"/>
                <w:lang w:val="en-GB"/>
              </w:rPr>
            </w:pPr>
          </w:p>
        </w:tc>
      </w:tr>
      <w:tr w:rsidR="008C65FD" w:rsidRPr="00C66B91" w:rsidTr="00344723">
        <w:trPr>
          <w:trHeight w:val="300"/>
        </w:trPr>
        <w:tc>
          <w:tcPr>
            <w:tcW w:w="4111" w:type="dxa"/>
            <w:tcBorders>
              <w:top w:val="nil"/>
              <w:left w:val="nil"/>
              <w:bottom w:val="nil"/>
              <w:right w:val="nil"/>
            </w:tcBorders>
            <w:shd w:val="clear" w:color="auto" w:fill="auto"/>
            <w:vAlign w:val="bottom"/>
          </w:tcPr>
          <w:p w:rsidR="008C65FD" w:rsidRPr="00C66B91" w:rsidRDefault="001262EB" w:rsidP="008C65FD">
            <w:pPr>
              <w:rPr>
                <w:color w:val="000000"/>
                <w:sz w:val="22"/>
                <w:szCs w:val="22"/>
                <w:lang w:val="en-GB"/>
              </w:rPr>
            </w:pPr>
            <w:r>
              <w:rPr>
                <w:color w:val="000000"/>
                <w:sz w:val="22"/>
                <w:szCs w:val="22"/>
                <w:lang w:val="en-GB"/>
              </w:rPr>
              <w:t>Speedy Grup AD</w:t>
            </w:r>
          </w:p>
        </w:tc>
        <w:tc>
          <w:tcPr>
            <w:tcW w:w="1701" w:type="dxa"/>
            <w:tcBorders>
              <w:top w:val="nil"/>
              <w:left w:val="nil"/>
              <w:bottom w:val="nil"/>
              <w:right w:val="nil"/>
            </w:tcBorders>
            <w:shd w:val="clear" w:color="auto" w:fill="auto"/>
            <w:vAlign w:val="bottom"/>
          </w:tcPr>
          <w:p w:rsidR="008C65FD" w:rsidRPr="00C66B91" w:rsidRDefault="001262EB" w:rsidP="00344723">
            <w:pPr>
              <w:rPr>
                <w:sz w:val="22"/>
                <w:szCs w:val="22"/>
                <w:lang w:val="en-GB"/>
              </w:rPr>
            </w:pPr>
            <w:r>
              <w:rPr>
                <w:sz w:val="22"/>
                <w:szCs w:val="22"/>
                <w:lang w:val="en-GB"/>
              </w:rPr>
              <w:t>Dividend</w:t>
            </w:r>
          </w:p>
        </w:tc>
        <w:tc>
          <w:tcPr>
            <w:tcW w:w="1701" w:type="dxa"/>
            <w:tcBorders>
              <w:top w:val="nil"/>
              <w:left w:val="nil"/>
              <w:bottom w:val="nil"/>
              <w:right w:val="nil"/>
            </w:tcBorders>
            <w:shd w:val="clear" w:color="auto" w:fill="auto"/>
            <w:noWrap/>
            <w:vAlign w:val="bottom"/>
          </w:tcPr>
          <w:p w:rsidR="008C65FD" w:rsidRPr="00C66B91" w:rsidRDefault="008C65FD" w:rsidP="008C65FD">
            <w:pPr>
              <w:jc w:val="right"/>
              <w:rPr>
                <w:color w:val="000000"/>
                <w:sz w:val="22"/>
                <w:szCs w:val="22"/>
                <w:lang w:val="en-GB"/>
              </w:rPr>
            </w:pPr>
            <w:r w:rsidRPr="00C66B91">
              <w:rPr>
                <w:color w:val="000000"/>
                <w:sz w:val="22"/>
                <w:szCs w:val="22"/>
                <w:lang w:val="en-GB"/>
              </w:rPr>
              <w:t>3,045</w:t>
            </w:r>
          </w:p>
        </w:tc>
        <w:tc>
          <w:tcPr>
            <w:tcW w:w="1559" w:type="dxa"/>
            <w:tcBorders>
              <w:top w:val="nil"/>
              <w:left w:val="nil"/>
              <w:bottom w:val="nil"/>
              <w:right w:val="nil"/>
            </w:tcBorders>
            <w:vAlign w:val="bottom"/>
          </w:tcPr>
          <w:p w:rsidR="008C65FD" w:rsidRPr="00C66B91" w:rsidRDefault="008C65FD" w:rsidP="008C65FD">
            <w:pPr>
              <w:jc w:val="right"/>
              <w:rPr>
                <w:sz w:val="22"/>
                <w:szCs w:val="22"/>
                <w:lang w:val="en-GB"/>
              </w:rPr>
            </w:pPr>
            <w:r w:rsidRPr="00C66B91">
              <w:rPr>
                <w:sz w:val="22"/>
                <w:szCs w:val="22"/>
                <w:lang w:val="en-GB"/>
              </w:rPr>
              <w:t>-</w:t>
            </w:r>
          </w:p>
        </w:tc>
      </w:tr>
      <w:tr w:rsidR="001262EB" w:rsidRPr="00C66B91" w:rsidTr="00344723">
        <w:trPr>
          <w:trHeight w:val="300"/>
        </w:trPr>
        <w:tc>
          <w:tcPr>
            <w:tcW w:w="4111" w:type="dxa"/>
            <w:tcBorders>
              <w:top w:val="nil"/>
              <w:left w:val="nil"/>
              <w:bottom w:val="nil"/>
              <w:right w:val="nil"/>
            </w:tcBorders>
            <w:shd w:val="clear" w:color="auto" w:fill="auto"/>
            <w:noWrap/>
            <w:vAlign w:val="center"/>
            <w:hideMark/>
          </w:tcPr>
          <w:p w:rsidR="001262EB" w:rsidRPr="005E30E6" w:rsidRDefault="001262EB" w:rsidP="001262EB">
            <w:pPr>
              <w:rPr>
                <w:color w:val="000000"/>
                <w:sz w:val="22"/>
                <w:szCs w:val="22"/>
              </w:rPr>
            </w:pPr>
            <w:r w:rsidRPr="005E30E6">
              <w:rPr>
                <w:color w:val="000000"/>
                <w:sz w:val="22"/>
                <w:szCs w:val="22"/>
              </w:rPr>
              <w:t>Transbalkan group OOD</w:t>
            </w:r>
          </w:p>
        </w:tc>
        <w:tc>
          <w:tcPr>
            <w:tcW w:w="1701" w:type="dxa"/>
            <w:tcBorders>
              <w:top w:val="nil"/>
              <w:left w:val="nil"/>
              <w:bottom w:val="nil"/>
              <w:right w:val="nil"/>
            </w:tcBorders>
            <w:shd w:val="clear" w:color="auto" w:fill="auto"/>
            <w:vAlign w:val="center"/>
            <w:hideMark/>
          </w:tcPr>
          <w:p w:rsidR="001262EB" w:rsidRPr="005E30E6" w:rsidRDefault="001262EB" w:rsidP="001262EB">
            <w:pPr>
              <w:rPr>
                <w:color w:val="000000"/>
                <w:sz w:val="22"/>
                <w:szCs w:val="22"/>
              </w:rPr>
            </w:pPr>
            <w:r w:rsidRPr="005E30E6">
              <w:rPr>
                <w:color w:val="000000"/>
                <w:sz w:val="22"/>
                <w:szCs w:val="22"/>
              </w:rPr>
              <w:t>Services</w:t>
            </w:r>
          </w:p>
        </w:tc>
        <w:tc>
          <w:tcPr>
            <w:tcW w:w="1701" w:type="dxa"/>
            <w:tcBorders>
              <w:top w:val="nil"/>
              <w:left w:val="nil"/>
              <w:bottom w:val="nil"/>
              <w:right w:val="nil"/>
            </w:tcBorders>
            <w:shd w:val="clear" w:color="auto" w:fill="auto"/>
            <w:noWrap/>
            <w:tcMar>
              <w:right w:w="284" w:type="dxa"/>
            </w:tcMar>
            <w:vAlign w:val="center"/>
            <w:hideMark/>
          </w:tcPr>
          <w:p w:rsidR="001262EB" w:rsidRPr="00C66B91" w:rsidRDefault="001262EB" w:rsidP="001262EB">
            <w:pPr>
              <w:jc w:val="right"/>
              <w:rPr>
                <w:color w:val="000000"/>
                <w:sz w:val="22"/>
                <w:szCs w:val="22"/>
                <w:lang w:val="en-GB"/>
              </w:rPr>
            </w:pPr>
            <w:r w:rsidRPr="00C66B91">
              <w:rPr>
                <w:color w:val="000000"/>
                <w:sz w:val="22"/>
                <w:szCs w:val="22"/>
                <w:lang w:val="en-GB"/>
              </w:rPr>
              <w:t>444</w:t>
            </w:r>
          </w:p>
        </w:tc>
        <w:tc>
          <w:tcPr>
            <w:tcW w:w="1559" w:type="dxa"/>
            <w:tcBorders>
              <w:top w:val="nil"/>
              <w:left w:val="nil"/>
              <w:bottom w:val="nil"/>
              <w:right w:val="nil"/>
            </w:tcBorders>
            <w:vAlign w:val="center"/>
          </w:tcPr>
          <w:p w:rsidR="001262EB" w:rsidRPr="00C66B91" w:rsidRDefault="001262EB" w:rsidP="001262EB">
            <w:pPr>
              <w:jc w:val="right"/>
              <w:rPr>
                <w:color w:val="000000"/>
                <w:sz w:val="22"/>
                <w:szCs w:val="22"/>
                <w:lang w:val="en-GB"/>
              </w:rPr>
            </w:pPr>
            <w:r w:rsidRPr="00C66B91">
              <w:rPr>
                <w:color w:val="000000"/>
                <w:sz w:val="22"/>
                <w:szCs w:val="22"/>
                <w:lang w:val="en-GB"/>
              </w:rPr>
              <w:t>404</w:t>
            </w:r>
          </w:p>
        </w:tc>
      </w:tr>
      <w:tr w:rsidR="001262EB" w:rsidRPr="00C66B91" w:rsidTr="00344723">
        <w:trPr>
          <w:trHeight w:val="300"/>
        </w:trPr>
        <w:tc>
          <w:tcPr>
            <w:tcW w:w="4111" w:type="dxa"/>
            <w:tcBorders>
              <w:top w:val="nil"/>
              <w:left w:val="nil"/>
              <w:bottom w:val="nil"/>
              <w:right w:val="nil"/>
            </w:tcBorders>
            <w:shd w:val="clear" w:color="auto" w:fill="auto"/>
            <w:noWrap/>
            <w:vAlign w:val="center"/>
            <w:hideMark/>
          </w:tcPr>
          <w:p w:rsidR="001262EB" w:rsidRPr="005E30E6" w:rsidRDefault="001262EB" w:rsidP="001262EB">
            <w:pPr>
              <w:rPr>
                <w:color w:val="000000"/>
                <w:sz w:val="22"/>
                <w:szCs w:val="22"/>
              </w:rPr>
            </w:pPr>
            <w:r w:rsidRPr="005E30E6">
              <w:rPr>
                <w:sz w:val="22"/>
                <w:szCs w:val="22"/>
              </w:rPr>
              <w:t>Omnicar Auto OOD</w:t>
            </w:r>
          </w:p>
        </w:tc>
        <w:tc>
          <w:tcPr>
            <w:tcW w:w="1701" w:type="dxa"/>
            <w:tcBorders>
              <w:top w:val="nil"/>
              <w:left w:val="nil"/>
              <w:bottom w:val="nil"/>
              <w:right w:val="nil"/>
            </w:tcBorders>
            <w:shd w:val="clear" w:color="auto" w:fill="auto"/>
            <w:noWrap/>
            <w:vAlign w:val="center"/>
            <w:hideMark/>
          </w:tcPr>
          <w:p w:rsidR="001262EB" w:rsidRPr="005E30E6" w:rsidRDefault="001262EB" w:rsidP="001262EB">
            <w:pPr>
              <w:rPr>
                <w:color w:val="000000"/>
                <w:sz w:val="22"/>
                <w:szCs w:val="22"/>
              </w:rPr>
            </w:pPr>
            <w:r w:rsidRPr="005E30E6">
              <w:rPr>
                <w:color w:val="000000"/>
                <w:sz w:val="22"/>
                <w:szCs w:val="22"/>
              </w:rPr>
              <w:t>Services</w:t>
            </w:r>
          </w:p>
        </w:tc>
        <w:tc>
          <w:tcPr>
            <w:tcW w:w="1701" w:type="dxa"/>
            <w:tcBorders>
              <w:top w:val="nil"/>
              <w:left w:val="nil"/>
              <w:bottom w:val="nil"/>
              <w:right w:val="nil"/>
            </w:tcBorders>
            <w:shd w:val="clear" w:color="auto" w:fill="auto"/>
            <w:noWrap/>
            <w:tcMar>
              <w:right w:w="284" w:type="dxa"/>
            </w:tcMar>
            <w:vAlign w:val="center"/>
            <w:hideMark/>
          </w:tcPr>
          <w:p w:rsidR="001262EB" w:rsidRPr="00C66B91" w:rsidRDefault="001262EB" w:rsidP="001262EB">
            <w:pPr>
              <w:jc w:val="right"/>
              <w:rPr>
                <w:color w:val="000000"/>
                <w:sz w:val="22"/>
                <w:szCs w:val="22"/>
                <w:lang w:val="en-GB"/>
              </w:rPr>
            </w:pPr>
            <w:r w:rsidRPr="00C66B91">
              <w:rPr>
                <w:color w:val="000000"/>
                <w:sz w:val="22"/>
                <w:szCs w:val="22"/>
                <w:lang w:val="en-GB"/>
              </w:rPr>
              <w:t>43</w:t>
            </w:r>
          </w:p>
        </w:tc>
        <w:tc>
          <w:tcPr>
            <w:tcW w:w="1559" w:type="dxa"/>
            <w:tcBorders>
              <w:top w:val="nil"/>
              <w:left w:val="nil"/>
              <w:bottom w:val="nil"/>
              <w:right w:val="nil"/>
            </w:tcBorders>
            <w:vAlign w:val="center"/>
          </w:tcPr>
          <w:p w:rsidR="001262EB" w:rsidRPr="00C66B91" w:rsidRDefault="001262EB" w:rsidP="001262EB">
            <w:pPr>
              <w:jc w:val="right"/>
              <w:rPr>
                <w:color w:val="000000"/>
                <w:sz w:val="22"/>
                <w:szCs w:val="22"/>
                <w:lang w:val="en-GB"/>
              </w:rPr>
            </w:pPr>
            <w:r w:rsidRPr="00C66B91">
              <w:rPr>
                <w:color w:val="000000"/>
                <w:sz w:val="22"/>
                <w:szCs w:val="22"/>
                <w:lang w:val="en-GB"/>
              </w:rPr>
              <w:t>21</w:t>
            </w:r>
          </w:p>
        </w:tc>
      </w:tr>
      <w:tr w:rsidR="001262EB" w:rsidRPr="00C66B91" w:rsidTr="00344723">
        <w:trPr>
          <w:trHeight w:val="300"/>
        </w:trPr>
        <w:tc>
          <w:tcPr>
            <w:tcW w:w="4111" w:type="dxa"/>
            <w:tcBorders>
              <w:top w:val="nil"/>
              <w:left w:val="nil"/>
              <w:bottom w:val="nil"/>
              <w:right w:val="nil"/>
            </w:tcBorders>
            <w:shd w:val="clear" w:color="auto" w:fill="auto"/>
            <w:noWrap/>
            <w:vAlign w:val="center"/>
            <w:hideMark/>
          </w:tcPr>
          <w:p w:rsidR="001262EB" w:rsidRPr="005E30E6" w:rsidRDefault="001262EB" w:rsidP="001262EB">
            <w:pPr>
              <w:rPr>
                <w:color w:val="000000"/>
                <w:sz w:val="22"/>
                <w:szCs w:val="22"/>
              </w:rPr>
            </w:pPr>
            <w:r w:rsidRPr="005E30E6">
              <w:rPr>
                <w:color w:val="000000"/>
                <w:sz w:val="22"/>
                <w:szCs w:val="22"/>
              </w:rPr>
              <w:t>Dragomir Winery Estate OOD</w:t>
            </w:r>
          </w:p>
        </w:tc>
        <w:tc>
          <w:tcPr>
            <w:tcW w:w="1701" w:type="dxa"/>
            <w:tcBorders>
              <w:top w:val="nil"/>
              <w:left w:val="nil"/>
              <w:bottom w:val="nil"/>
              <w:right w:val="nil"/>
            </w:tcBorders>
            <w:shd w:val="clear" w:color="auto" w:fill="auto"/>
            <w:vAlign w:val="center"/>
            <w:hideMark/>
          </w:tcPr>
          <w:p w:rsidR="001262EB" w:rsidRPr="005E30E6" w:rsidRDefault="001262EB" w:rsidP="001262EB">
            <w:pPr>
              <w:rPr>
                <w:color w:val="000000"/>
                <w:sz w:val="22"/>
                <w:szCs w:val="22"/>
              </w:rPr>
            </w:pPr>
            <w:r w:rsidRPr="005E30E6">
              <w:rPr>
                <w:color w:val="000000"/>
                <w:sz w:val="22"/>
                <w:szCs w:val="22"/>
              </w:rPr>
              <w:t>Goods</w:t>
            </w:r>
          </w:p>
        </w:tc>
        <w:tc>
          <w:tcPr>
            <w:tcW w:w="1701" w:type="dxa"/>
            <w:tcBorders>
              <w:top w:val="nil"/>
              <w:left w:val="nil"/>
              <w:bottom w:val="nil"/>
              <w:right w:val="nil"/>
            </w:tcBorders>
            <w:shd w:val="clear" w:color="auto" w:fill="auto"/>
            <w:noWrap/>
            <w:tcMar>
              <w:right w:w="284" w:type="dxa"/>
            </w:tcMar>
            <w:vAlign w:val="center"/>
            <w:hideMark/>
          </w:tcPr>
          <w:p w:rsidR="001262EB" w:rsidRPr="00C66B91" w:rsidRDefault="001262EB" w:rsidP="001262EB">
            <w:pPr>
              <w:jc w:val="right"/>
              <w:rPr>
                <w:color w:val="000000"/>
                <w:sz w:val="22"/>
                <w:szCs w:val="22"/>
                <w:lang w:val="en-GB"/>
              </w:rPr>
            </w:pPr>
            <w:r w:rsidRPr="00C66B91">
              <w:rPr>
                <w:color w:val="000000"/>
                <w:sz w:val="22"/>
                <w:szCs w:val="22"/>
                <w:lang w:val="en-GB"/>
              </w:rPr>
              <w:t>1</w:t>
            </w:r>
          </w:p>
        </w:tc>
        <w:tc>
          <w:tcPr>
            <w:tcW w:w="1559" w:type="dxa"/>
            <w:tcBorders>
              <w:top w:val="nil"/>
              <w:left w:val="nil"/>
              <w:bottom w:val="nil"/>
              <w:right w:val="nil"/>
            </w:tcBorders>
            <w:vAlign w:val="center"/>
          </w:tcPr>
          <w:p w:rsidR="001262EB" w:rsidRPr="00C66B91" w:rsidRDefault="001262EB" w:rsidP="001262EB">
            <w:pPr>
              <w:jc w:val="right"/>
              <w:rPr>
                <w:color w:val="000000"/>
                <w:sz w:val="22"/>
                <w:szCs w:val="22"/>
                <w:lang w:val="en-GB"/>
              </w:rPr>
            </w:pPr>
            <w:r w:rsidRPr="00C66B91">
              <w:rPr>
                <w:color w:val="000000"/>
                <w:sz w:val="22"/>
                <w:szCs w:val="22"/>
                <w:lang w:val="en-GB"/>
              </w:rPr>
              <w:t>8</w:t>
            </w:r>
          </w:p>
        </w:tc>
      </w:tr>
      <w:tr w:rsidR="001262EB" w:rsidRPr="00C66B91" w:rsidTr="00344723">
        <w:trPr>
          <w:trHeight w:val="300"/>
        </w:trPr>
        <w:tc>
          <w:tcPr>
            <w:tcW w:w="4111" w:type="dxa"/>
            <w:tcBorders>
              <w:top w:val="nil"/>
              <w:left w:val="nil"/>
              <w:bottom w:val="nil"/>
              <w:right w:val="nil"/>
            </w:tcBorders>
            <w:shd w:val="clear" w:color="auto" w:fill="auto"/>
            <w:vAlign w:val="center"/>
            <w:hideMark/>
          </w:tcPr>
          <w:p w:rsidR="001262EB" w:rsidRPr="005E30E6" w:rsidRDefault="001262EB" w:rsidP="001262EB">
            <w:pPr>
              <w:rPr>
                <w:color w:val="000000"/>
                <w:sz w:val="22"/>
                <w:szCs w:val="22"/>
              </w:rPr>
            </w:pPr>
            <w:r w:rsidRPr="005E30E6">
              <w:rPr>
                <w:color w:val="000000"/>
                <w:sz w:val="22"/>
                <w:szCs w:val="22"/>
              </w:rPr>
              <w:t>Omnicar BG EOOD</w:t>
            </w:r>
          </w:p>
        </w:tc>
        <w:tc>
          <w:tcPr>
            <w:tcW w:w="1701" w:type="dxa"/>
            <w:tcBorders>
              <w:top w:val="nil"/>
              <w:left w:val="nil"/>
              <w:bottom w:val="nil"/>
              <w:right w:val="nil"/>
            </w:tcBorders>
            <w:shd w:val="clear" w:color="auto" w:fill="auto"/>
            <w:vAlign w:val="center"/>
            <w:hideMark/>
          </w:tcPr>
          <w:p w:rsidR="001262EB" w:rsidRPr="005E30E6" w:rsidRDefault="001262EB" w:rsidP="001262EB">
            <w:pPr>
              <w:rPr>
                <w:color w:val="000000"/>
                <w:sz w:val="22"/>
                <w:szCs w:val="22"/>
              </w:rPr>
            </w:pPr>
            <w:r w:rsidRPr="005E30E6">
              <w:rPr>
                <w:color w:val="000000"/>
                <w:sz w:val="22"/>
                <w:szCs w:val="22"/>
              </w:rPr>
              <w:t>Services</w:t>
            </w:r>
          </w:p>
        </w:tc>
        <w:tc>
          <w:tcPr>
            <w:tcW w:w="1701" w:type="dxa"/>
            <w:tcBorders>
              <w:top w:val="nil"/>
              <w:left w:val="nil"/>
              <w:bottom w:val="nil"/>
              <w:right w:val="nil"/>
            </w:tcBorders>
            <w:shd w:val="clear" w:color="auto" w:fill="auto"/>
            <w:noWrap/>
            <w:tcMar>
              <w:right w:w="284" w:type="dxa"/>
            </w:tcMar>
            <w:vAlign w:val="center"/>
            <w:hideMark/>
          </w:tcPr>
          <w:p w:rsidR="001262EB" w:rsidRPr="00C66B91" w:rsidRDefault="001262EB" w:rsidP="001262EB">
            <w:pPr>
              <w:jc w:val="right"/>
              <w:rPr>
                <w:color w:val="000000"/>
                <w:sz w:val="22"/>
                <w:szCs w:val="22"/>
                <w:lang w:val="en-GB"/>
              </w:rPr>
            </w:pPr>
            <w:r w:rsidRPr="00C66B91">
              <w:rPr>
                <w:color w:val="000000"/>
                <w:sz w:val="22"/>
                <w:szCs w:val="22"/>
                <w:lang w:val="en-GB"/>
              </w:rPr>
              <w:t>10</w:t>
            </w:r>
          </w:p>
        </w:tc>
        <w:tc>
          <w:tcPr>
            <w:tcW w:w="1559" w:type="dxa"/>
            <w:tcBorders>
              <w:top w:val="nil"/>
              <w:left w:val="nil"/>
              <w:bottom w:val="nil"/>
              <w:right w:val="nil"/>
            </w:tcBorders>
            <w:vAlign w:val="center"/>
          </w:tcPr>
          <w:p w:rsidR="001262EB" w:rsidRPr="00C66B91" w:rsidRDefault="001262EB" w:rsidP="001262EB">
            <w:pPr>
              <w:jc w:val="right"/>
              <w:rPr>
                <w:color w:val="000000"/>
                <w:sz w:val="22"/>
                <w:szCs w:val="22"/>
                <w:lang w:val="en-GB"/>
              </w:rPr>
            </w:pPr>
            <w:r w:rsidRPr="00C66B91">
              <w:rPr>
                <w:color w:val="000000"/>
                <w:sz w:val="22"/>
                <w:szCs w:val="22"/>
                <w:lang w:val="en-GB"/>
              </w:rPr>
              <w:t>6</w:t>
            </w:r>
          </w:p>
        </w:tc>
      </w:tr>
      <w:tr w:rsidR="001262EB" w:rsidRPr="00C66B91" w:rsidTr="00344723">
        <w:trPr>
          <w:trHeight w:val="315"/>
        </w:trPr>
        <w:tc>
          <w:tcPr>
            <w:tcW w:w="4111" w:type="dxa"/>
            <w:tcBorders>
              <w:top w:val="nil"/>
              <w:left w:val="nil"/>
              <w:bottom w:val="nil"/>
              <w:right w:val="nil"/>
            </w:tcBorders>
            <w:shd w:val="clear" w:color="auto" w:fill="auto"/>
            <w:vAlign w:val="center"/>
            <w:hideMark/>
          </w:tcPr>
          <w:p w:rsidR="001262EB" w:rsidRPr="005E30E6" w:rsidRDefault="001262EB" w:rsidP="001262EB">
            <w:pPr>
              <w:jc w:val="right"/>
              <w:rPr>
                <w:b/>
                <w:bCs/>
                <w:color w:val="000000"/>
                <w:sz w:val="22"/>
                <w:szCs w:val="22"/>
              </w:rPr>
            </w:pPr>
            <w:r w:rsidRPr="005E30E6">
              <w:rPr>
                <w:b/>
                <w:bCs/>
                <w:color w:val="000000"/>
                <w:sz w:val="22"/>
                <w:szCs w:val="22"/>
              </w:rPr>
              <w:t xml:space="preserve">Total </w:t>
            </w:r>
          </w:p>
        </w:tc>
        <w:tc>
          <w:tcPr>
            <w:tcW w:w="1701" w:type="dxa"/>
            <w:tcBorders>
              <w:top w:val="nil"/>
              <w:left w:val="nil"/>
              <w:bottom w:val="nil"/>
              <w:right w:val="nil"/>
            </w:tcBorders>
            <w:shd w:val="clear" w:color="auto" w:fill="auto"/>
            <w:vAlign w:val="bottom"/>
            <w:hideMark/>
          </w:tcPr>
          <w:p w:rsidR="001262EB" w:rsidRPr="005E30E6" w:rsidRDefault="001262EB" w:rsidP="001262EB">
            <w:pPr>
              <w:jc w:val="right"/>
              <w:rPr>
                <w:b/>
                <w:bCs/>
                <w:color w:val="000000"/>
                <w:sz w:val="22"/>
                <w:szCs w:val="22"/>
              </w:rPr>
            </w:pPr>
          </w:p>
        </w:tc>
        <w:tc>
          <w:tcPr>
            <w:tcW w:w="1701" w:type="dxa"/>
            <w:tcBorders>
              <w:top w:val="single" w:sz="2" w:space="0" w:color="auto"/>
              <w:left w:val="nil"/>
              <w:bottom w:val="double" w:sz="4" w:space="0" w:color="auto"/>
              <w:right w:val="nil"/>
            </w:tcBorders>
            <w:shd w:val="clear" w:color="auto" w:fill="auto"/>
            <w:noWrap/>
            <w:tcMar>
              <w:right w:w="284" w:type="dxa"/>
            </w:tcMar>
            <w:vAlign w:val="center"/>
            <w:hideMark/>
          </w:tcPr>
          <w:p w:rsidR="001262EB" w:rsidRPr="00C66B91" w:rsidRDefault="001262EB" w:rsidP="001262EB">
            <w:pPr>
              <w:jc w:val="right"/>
              <w:rPr>
                <w:b/>
                <w:bCs/>
                <w:color w:val="000000"/>
                <w:sz w:val="22"/>
                <w:szCs w:val="22"/>
                <w:lang w:val="en-GB"/>
              </w:rPr>
            </w:pPr>
            <w:r w:rsidRPr="00C66B91">
              <w:rPr>
                <w:b/>
                <w:bCs/>
                <w:color w:val="000000"/>
                <w:sz w:val="22"/>
                <w:szCs w:val="22"/>
                <w:lang w:val="en-GB"/>
              </w:rPr>
              <w:t>3,542</w:t>
            </w:r>
          </w:p>
        </w:tc>
        <w:tc>
          <w:tcPr>
            <w:tcW w:w="1559" w:type="dxa"/>
            <w:tcBorders>
              <w:top w:val="single" w:sz="2" w:space="0" w:color="auto"/>
              <w:left w:val="nil"/>
              <w:bottom w:val="double" w:sz="4" w:space="0" w:color="auto"/>
              <w:right w:val="nil"/>
            </w:tcBorders>
            <w:vAlign w:val="center"/>
          </w:tcPr>
          <w:p w:rsidR="001262EB" w:rsidRPr="00C66B91" w:rsidRDefault="001262EB" w:rsidP="001262EB">
            <w:pPr>
              <w:jc w:val="right"/>
              <w:rPr>
                <w:b/>
                <w:bCs/>
                <w:color w:val="000000"/>
                <w:sz w:val="22"/>
                <w:szCs w:val="22"/>
                <w:lang w:val="en-GB"/>
              </w:rPr>
            </w:pPr>
            <w:r w:rsidRPr="00C66B91">
              <w:rPr>
                <w:b/>
                <w:bCs/>
                <w:color w:val="000000"/>
                <w:sz w:val="22"/>
                <w:szCs w:val="22"/>
                <w:lang w:val="en-GB"/>
              </w:rPr>
              <w:t>439</w:t>
            </w:r>
          </w:p>
        </w:tc>
      </w:tr>
    </w:tbl>
    <w:p w:rsidR="00E922D1" w:rsidRPr="00C66B91" w:rsidRDefault="00E922D1" w:rsidP="00E922D1">
      <w:pPr>
        <w:jc w:val="both"/>
        <w:rPr>
          <w:sz w:val="22"/>
          <w:szCs w:val="22"/>
          <w:lang w:val="en-GB"/>
        </w:rPr>
      </w:pPr>
    </w:p>
    <w:p w:rsidR="001262EB" w:rsidRPr="005E30E6" w:rsidRDefault="001262EB" w:rsidP="001262EB">
      <w:pPr>
        <w:numPr>
          <w:ilvl w:val="12"/>
          <w:numId w:val="0"/>
        </w:numPr>
        <w:jc w:val="both"/>
        <w:rPr>
          <w:sz w:val="22"/>
          <w:szCs w:val="22"/>
        </w:rPr>
      </w:pPr>
      <w:r w:rsidRPr="005E30E6">
        <w:rPr>
          <w:sz w:val="22"/>
          <w:szCs w:val="22"/>
        </w:rPr>
        <w:t>The Group realized the following sales to related parties:</w:t>
      </w:r>
    </w:p>
    <w:tbl>
      <w:tblPr>
        <w:tblW w:w="9072" w:type="dxa"/>
        <w:tblInd w:w="70" w:type="dxa"/>
        <w:tblCellMar>
          <w:left w:w="70" w:type="dxa"/>
          <w:right w:w="70" w:type="dxa"/>
        </w:tblCellMar>
        <w:tblLook w:val="04A0" w:firstRow="1" w:lastRow="0" w:firstColumn="1" w:lastColumn="0" w:noHBand="0" w:noVBand="1"/>
      </w:tblPr>
      <w:tblGrid>
        <w:gridCol w:w="4111"/>
        <w:gridCol w:w="1687"/>
        <w:gridCol w:w="1715"/>
        <w:gridCol w:w="1559"/>
      </w:tblGrid>
      <w:tr w:rsidR="00344723" w:rsidRPr="00C66B91" w:rsidTr="00911666">
        <w:trPr>
          <w:trHeight w:val="315"/>
        </w:trPr>
        <w:tc>
          <w:tcPr>
            <w:tcW w:w="4111" w:type="dxa"/>
            <w:tcBorders>
              <w:top w:val="nil"/>
              <w:left w:val="nil"/>
              <w:bottom w:val="nil"/>
              <w:right w:val="nil"/>
            </w:tcBorders>
            <w:shd w:val="clear" w:color="auto" w:fill="auto"/>
            <w:noWrap/>
            <w:vAlign w:val="bottom"/>
            <w:hideMark/>
          </w:tcPr>
          <w:p w:rsidR="00344723" w:rsidRPr="00C66B91" w:rsidRDefault="00344723" w:rsidP="00911666">
            <w:pPr>
              <w:rPr>
                <w:sz w:val="22"/>
                <w:szCs w:val="22"/>
                <w:lang w:val="en-GB" w:eastAsia="bg-BG"/>
              </w:rPr>
            </w:pPr>
          </w:p>
        </w:tc>
        <w:tc>
          <w:tcPr>
            <w:tcW w:w="1687" w:type="dxa"/>
            <w:tcBorders>
              <w:top w:val="nil"/>
              <w:left w:val="nil"/>
              <w:bottom w:val="nil"/>
              <w:right w:val="nil"/>
            </w:tcBorders>
            <w:shd w:val="clear" w:color="auto" w:fill="auto"/>
            <w:noWrap/>
            <w:vAlign w:val="bottom"/>
            <w:hideMark/>
          </w:tcPr>
          <w:p w:rsidR="00344723" w:rsidRPr="00C66B91" w:rsidRDefault="00344723" w:rsidP="00911666">
            <w:pPr>
              <w:rPr>
                <w:sz w:val="22"/>
                <w:szCs w:val="22"/>
                <w:lang w:val="en-GB"/>
              </w:rPr>
            </w:pPr>
          </w:p>
        </w:tc>
        <w:tc>
          <w:tcPr>
            <w:tcW w:w="1715" w:type="dxa"/>
            <w:tcBorders>
              <w:top w:val="nil"/>
              <w:left w:val="nil"/>
              <w:bottom w:val="single" w:sz="2" w:space="0" w:color="auto"/>
              <w:right w:val="nil"/>
            </w:tcBorders>
            <w:shd w:val="clear" w:color="auto" w:fill="auto"/>
            <w:vAlign w:val="bottom"/>
            <w:hideMark/>
          </w:tcPr>
          <w:p w:rsidR="00344723" w:rsidRPr="00C66B91" w:rsidRDefault="008A588E" w:rsidP="00911666">
            <w:pPr>
              <w:jc w:val="center"/>
              <w:rPr>
                <w:b/>
                <w:bCs/>
                <w:color w:val="000000"/>
                <w:sz w:val="22"/>
                <w:szCs w:val="22"/>
                <w:lang w:val="en-GB"/>
              </w:rPr>
            </w:pPr>
            <w:r w:rsidRPr="00C66B91">
              <w:rPr>
                <w:b/>
                <w:bCs/>
                <w:color w:val="000000"/>
                <w:sz w:val="22"/>
                <w:szCs w:val="22"/>
                <w:lang w:val="en-GB"/>
              </w:rPr>
              <w:t>30.06</w:t>
            </w:r>
            <w:r w:rsidR="00344723" w:rsidRPr="00C66B91">
              <w:rPr>
                <w:b/>
                <w:bCs/>
                <w:color w:val="000000"/>
                <w:sz w:val="22"/>
                <w:szCs w:val="22"/>
                <w:lang w:val="en-GB"/>
              </w:rPr>
              <w:t>.2015</w:t>
            </w:r>
          </w:p>
        </w:tc>
        <w:tc>
          <w:tcPr>
            <w:tcW w:w="1559" w:type="dxa"/>
            <w:tcBorders>
              <w:top w:val="nil"/>
              <w:left w:val="nil"/>
              <w:bottom w:val="single" w:sz="2" w:space="0" w:color="auto"/>
              <w:right w:val="nil"/>
            </w:tcBorders>
            <w:shd w:val="clear" w:color="auto" w:fill="auto"/>
            <w:vAlign w:val="bottom"/>
            <w:hideMark/>
          </w:tcPr>
          <w:p w:rsidR="00344723" w:rsidRPr="00C66B91" w:rsidRDefault="008A588E" w:rsidP="00911666">
            <w:pPr>
              <w:jc w:val="center"/>
              <w:rPr>
                <w:b/>
                <w:bCs/>
                <w:color w:val="000000"/>
                <w:sz w:val="22"/>
                <w:szCs w:val="22"/>
                <w:lang w:val="en-GB"/>
              </w:rPr>
            </w:pPr>
            <w:r w:rsidRPr="00C66B91">
              <w:rPr>
                <w:b/>
                <w:bCs/>
                <w:color w:val="000000"/>
                <w:sz w:val="22"/>
                <w:szCs w:val="22"/>
                <w:lang w:val="en-GB"/>
              </w:rPr>
              <w:t>30.06</w:t>
            </w:r>
            <w:r w:rsidR="00344723" w:rsidRPr="00C66B91">
              <w:rPr>
                <w:b/>
                <w:bCs/>
                <w:color w:val="000000"/>
                <w:sz w:val="22"/>
                <w:szCs w:val="22"/>
                <w:lang w:val="en-GB"/>
              </w:rPr>
              <w:t>.2014</w:t>
            </w:r>
          </w:p>
        </w:tc>
      </w:tr>
      <w:tr w:rsidR="00344723" w:rsidRPr="00C66B91" w:rsidTr="00911666">
        <w:trPr>
          <w:trHeight w:val="300"/>
        </w:trPr>
        <w:tc>
          <w:tcPr>
            <w:tcW w:w="4111" w:type="dxa"/>
            <w:tcBorders>
              <w:top w:val="nil"/>
              <w:left w:val="nil"/>
              <w:bottom w:val="nil"/>
              <w:right w:val="nil"/>
            </w:tcBorders>
            <w:shd w:val="clear" w:color="auto" w:fill="auto"/>
            <w:noWrap/>
            <w:vAlign w:val="bottom"/>
            <w:hideMark/>
          </w:tcPr>
          <w:p w:rsidR="00344723" w:rsidRPr="00C66B91" w:rsidRDefault="00344723" w:rsidP="00911666">
            <w:pPr>
              <w:jc w:val="center"/>
              <w:rPr>
                <w:b/>
                <w:bCs/>
                <w:color w:val="000000"/>
                <w:sz w:val="22"/>
                <w:szCs w:val="22"/>
                <w:lang w:val="en-GB"/>
              </w:rPr>
            </w:pPr>
          </w:p>
        </w:tc>
        <w:tc>
          <w:tcPr>
            <w:tcW w:w="1687" w:type="dxa"/>
            <w:tcBorders>
              <w:top w:val="nil"/>
              <w:left w:val="nil"/>
              <w:bottom w:val="nil"/>
              <w:right w:val="nil"/>
            </w:tcBorders>
            <w:shd w:val="clear" w:color="auto" w:fill="auto"/>
            <w:noWrap/>
            <w:vAlign w:val="bottom"/>
            <w:hideMark/>
          </w:tcPr>
          <w:p w:rsidR="00344723" w:rsidRPr="00C66B91" w:rsidRDefault="00344723" w:rsidP="00911666">
            <w:pPr>
              <w:rPr>
                <w:sz w:val="22"/>
                <w:szCs w:val="22"/>
                <w:lang w:val="en-GB"/>
              </w:rPr>
            </w:pPr>
          </w:p>
        </w:tc>
        <w:tc>
          <w:tcPr>
            <w:tcW w:w="1715" w:type="dxa"/>
            <w:tcBorders>
              <w:top w:val="single" w:sz="2" w:space="0" w:color="auto"/>
              <w:left w:val="nil"/>
              <w:bottom w:val="nil"/>
              <w:right w:val="nil"/>
            </w:tcBorders>
            <w:shd w:val="clear" w:color="auto" w:fill="auto"/>
            <w:vAlign w:val="bottom"/>
            <w:hideMark/>
          </w:tcPr>
          <w:p w:rsidR="00344723" w:rsidRPr="00C66B91" w:rsidRDefault="00344723" w:rsidP="00911666">
            <w:pPr>
              <w:jc w:val="center"/>
              <w:rPr>
                <w:b/>
                <w:color w:val="000000"/>
                <w:sz w:val="22"/>
                <w:szCs w:val="22"/>
                <w:lang w:val="en-GB"/>
              </w:rPr>
            </w:pPr>
            <w:r w:rsidRPr="00C66B91">
              <w:rPr>
                <w:b/>
                <w:color w:val="000000"/>
                <w:sz w:val="22"/>
                <w:szCs w:val="22"/>
                <w:lang w:val="en-GB"/>
              </w:rPr>
              <w:t>BGN’000</w:t>
            </w:r>
          </w:p>
        </w:tc>
        <w:tc>
          <w:tcPr>
            <w:tcW w:w="1559" w:type="dxa"/>
            <w:tcBorders>
              <w:top w:val="single" w:sz="2" w:space="0" w:color="auto"/>
              <w:left w:val="nil"/>
              <w:bottom w:val="nil"/>
              <w:right w:val="nil"/>
            </w:tcBorders>
            <w:shd w:val="clear" w:color="auto" w:fill="auto"/>
            <w:vAlign w:val="bottom"/>
            <w:hideMark/>
          </w:tcPr>
          <w:p w:rsidR="00344723" w:rsidRPr="00C66B91" w:rsidRDefault="00344723" w:rsidP="00911666">
            <w:pPr>
              <w:jc w:val="center"/>
              <w:rPr>
                <w:b/>
                <w:color w:val="000000"/>
                <w:sz w:val="22"/>
                <w:szCs w:val="22"/>
                <w:lang w:val="en-GB"/>
              </w:rPr>
            </w:pPr>
            <w:r w:rsidRPr="00C66B91">
              <w:rPr>
                <w:b/>
                <w:color w:val="000000"/>
                <w:sz w:val="22"/>
                <w:szCs w:val="22"/>
                <w:lang w:val="en-GB"/>
              </w:rPr>
              <w:t>BGN’000</w:t>
            </w:r>
          </w:p>
        </w:tc>
      </w:tr>
      <w:tr w:rsidR="00344723" w:rsidRPr="00C66B91" w:rsidTr="00911666">
        <w:trPr>
          <w:trHeight w:val="300"/>
        </w:trPr>
        <w:tc>
          <w:tcPr>
            <w:tcW w:w="4111" w:type="dxa"/>
            <w:tcBorders>
              <w:top w:val="nil"/>
              <w:left w:val="nil"/>
              <w:bottom w:val="nil"/>
              <w:right w:val="nil"/>
            </w:tcBorders>
            <w:shd w:val="clear" w:color="auto" w:fill="auto"/>
            <w:noWrap/>
            <w:vAlign w:val="bottom"/>
            <w:hideMark/>
          </w:tcPr>
          <w:p w:rsidR="00344723" w:rsidRPr="00C66B91" w:rsidRDefault="00344723" w:rsidP="00911666">
            <w:pPr>
              <w:jc w:val="center"/>
              <w:rPr>
                <w:color w:val="000000"/>
                <w:sz w:val="22"/>
                <w:szCs w:val="22"/>
                <w:lang w:val="en-GB"/>
              </w:rPr>
            </w:pPr>
          </w:p>
        </w:tc>
        <w:tc>
          <w:tcPr>
            <w:tcW w:w="1687" w:type="dxa"/>
            <w:tcBorders>
              <w:top w:val="nil"/>
              <w:left w:val="nil"/>
              <w:bottom w:val="nil"/>
              <w:right w:val="nil"/>
            </w:tcBorders>
            <w:shd w:val="clear" w:color="auto" w:fill="auto"/>
            <w:noWrap/>
            <w:vAlign w:val="bottom"/>
            <w:hideMark/>
          </w:tcPr>
          <w:p w:rsidR="00344723" w:rsidRPr="00C66B91" w:rsidRDefault="00344723" w:rsidP="00911666">
            <w:pPr>
              <w:jc w:val="both"/>
              <w:rPr>
                <w:sz w:val="22"/>
                <w:szCs w:val="22"/>
                <w:lang w:val="en-GB"/>
              </w:rPr>
            </w:pPr>
          </w:p>
        </w:tc>
        <w:tc>
          <w:tcPr>
            <w:tcW w:w="1715" w:type="dxa"/>
            <w:tcBorders>
              <w:top w:val="nil"/>
              <w:left w:val="nil"/>
              <w:bottom w:val="nil"/>
              <w:right w:val="nil"/>
            </w:tcBorders>
            <w:shd w:val="clear" w:color="auto" w:fill="auto"/>
            <w:noWrap/>
            <w:vAlign w:val="bottom"/>
            <w:hideMark/>
          </w:tcPr>
          <w:p w:rsidR="00344723" w:rsidRPr="00C66B91" w:rsidRDefault="00344723" w:rsidP="00911666">
            <w:pPr>
              <w:rPr>
                <w:sz w:val="22"/>
                <w:szCs w:val="22"/>
                <w:lang w:val="en-GB"/>
              </w:rPr>
            </w:pPr>
          </w:p>
        </w:tc>
        <w:tc>
          <w:tcPr>
            <w:tcW w:w="1559" w:type="dxa"/>
            <w:tcBorders>
              <w:top w:val="nil"/>
              <w:left w:val="nil"/>
              <w:bottom w:val="nil"/>
              <w:right w:val="nil"/>
            </w:tcBorders>
            <w:shd w:val="clear" w:color="auto" w:fill="auto"/>
            <w:noWrap/>
            <w:vAlign w:val="bottom"/>
            <w:hideMark/>
          </w:tcPr>
          <w:p w:rsidR="00344723" w:rsidRPr="00C66B91" w:rsidRDefault="00344723" w:rsidP="00911666">
            <w:pPr>
              <w:rPr>
                <w:sz w:val="22"/>
                <w:szCs w:val="22"/>
                <w:lang w:val="en-GB"/>
              </w:rPr>
            </w:pPr>
          </w:p>
        </w:tc>
      </w:tr>
      <w:tr w:rsidR="009A3B0A" w:rsidRPr="00C66B91" w:rsidTr="00911666">
        <w:trPr>
          <w:trHeight w:val="300"/>
        </w:trPr>
        <w:tc>
          <w:tcPr>
            <w:tcW w:w="4111" w:type="dxa"/>
            <w:tcBorders>
              <w:top w:val="nil"/>
              <w:left w:val="nil"/>
              <w:bottom w:val="nil"/>
              <w:right w:val="nil"/>
            </w:tcBorders>
            <w:shd w:val="clear" w:color="auto" w:fill="auto"/>
            <w:noWrap/>
            <w:hideMark/>
          </w:tcPr>
          <w:p w:rsidR="009A3B0A" w:rsidRPr="005E30E6" w:rsidRDefault="009A3B0A" w:rsidP="009A3B0A">
            <w:pPr>
              <w:rPr>
                <w:color w:val="000000"/>
                <w:sz w:val="22"/>
                <w:szCs w:val="22"/>
              </w:rPr>
            </w:pPr>
            <w:r w:rsidRPr="005E30E6">
              <w:rPr>
                <w:color w:val="000000"/>
                <w:sz w:val="22"/>
                <w:szCs w:val="22"/>
              </w:rPr>
              <w:t>Transbalkan group OOD</w:t>
            </w:r>
          </w:p>
        </w:tc>
        <w:tc>
          <w:tcPr>
            <w:tcW w:w="1687" w:type="dxa"/>
            <w:tcBorders>
              <w:top w:val="nil"/>
              <w:left w:val="nil"/>
              <w:bottom w:val="nil"/>
              <w:right w:val="nil"/>
            </w:tcBorders>
            <w:shd w:val="clear" w:color="auto" w:fill="auto"/>
            <w:hideMark/>
          </w:tcPr>
          <w:p w:rsidR="009A3B0A" w:rsidRPr="005E30E6" w:rsidRDefault="009A3B0A" w:rsidP="009A3B0A">
            <w:pPr>
              <w:rPr>
                <w:color w:val="000000"/>
                <w:sz w:val="22"/>
                <w:szCs w:val="22"/>
              </w:rPr>
            </w:pPr>
            <w:r w:rsidRPr="005E30E6">
              <w:rPr>
                <w:color w:val="000000"/>
                <w:sz w:val="22"/>
                <w:szCs w:val="22"/>
              </w:rPr>
              <w:t>Services</w:t>
            </w:r>
          </w:p>
        </w:tc>
        <w:tc>
          <w:tcPr>
            <w:tcW w:w="1715"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1,519</w:t>
            </w:r>
          </w:p>
        </w:tc>
        <w:tc>
          <w:tcPr>
            <w:tcW w:w="1559" w:type="dxa"/>
            <w:tcBorders>
              <w:top w:val="nil"/>
              <w:left w:val="nil"/>
              <w:bottom w:val="nil"/>
              <w:right w:val="nil"/>
            </w:tcBorders>
            <w:shd w:val="clear" w:color="auto" w:fill="auto"/>
            <w:noWrap/>
            <w:tcMar>
              <w:right w:w="284" w:type="dxa"/>
            </w:tcMar>
            <w:hideMark/>
          </w:tcPr>
          <w:p w:rsidR="009A3B0A" w:rsidRPr="00C66B91" w:rsidRDefault="009A3B0A" w:rsidP="009A3B0A">
            <w:pPr>
              <w:jc w:val="right"/>
              <w:rPr>
                <w:color w:val="000000"/>
                <w:sz w:val="22"/>
                <w:szCs w:val="22"/>
                <w:lang w:val="en-GB"/>
              </w:rPr>
            </w:pPr>
            <w:r w:rsidRPr="00C66B91">
              <w:rPr>
                <w:color w:val="000000"/>
                <w:sz w:val="22"/>
                <w:szCs w:val="22"/>
                <w:lang w:val="en-GB"/>
              </w:rPr>
              <w:t>1,161</w:t>
            </w:r>
          </w:p>
        </w:tc>
      </w:tr>
      <w:tr w:rsidR="009A3B0A" w:rsidRPr="00C66B91" w:rsidTr="00911666">
        <w:trPr>
          <w:trHeight w:val="300"/>
        </w:trPr>
        <w:tc>
          <w:tcPr>
            <w:tcW w:w="4111" w:type="dxa"/>
            <w:tcBorders>
              <w:top w:val="nil"/>
              <w:left w:val="nil"/>
              <w:bottom w:val="nil"/>
              <w:right w:val="nil"/>
            </w:tcBorders>
            <w:shd w:val="clear" w:color="auto" w:fill="auto"/>
            <w:noWrap/>
            <w:hideMark/>
          </w:tcPr>
          <w:p w:rsidR="009A3B0A" w:rsidRPr="005E30E6" w:rsidRDefault="009A3B0A" w:rsidP="009A3B0A">
            <w:pPr>
              <w:rPr>
                <w:color w:val="000000"/>
                <w:sz w:val="22"/>
                <w:szCs w:val="22"/>
              </w:rPr>
            </w:pPr>
            <w:r w:rsidRPr="005E30E6">
              <w:rPr>
                <w:color w:val="000000"/>
                <w:sz w:val="22"/>
                <w:szCs w:val="22"/>
              </w:rPr>
              <w:t>Omnicar BG EOOD</w:t>
            </w:r>
          </w:p>
        </w:tc>
        <w:tc>
          <w:tcPr>
            <w:tcW w:w="1687" w:type="dxa"/>
            <w:tcBorders>
              <w:top w:val="nil"/>
              <w:left w:val="nil"/>
              <w:bottom w:val="nil"/>
              <w:right w:val="nil"/>
            </w:tcBorders>
            <w:shd w:val="clear" w:color="auto" w:fill="auto"/>
            <w:hideMark/>
          </w:tcPr>
          <w:p w:rsidR="009A3B0A" w:rsidRPr="005E30E6" w:rsidRDefault="009A3B0A" w:rsidP="009A3B0A">
            <w:pPr>
              <w:rPr>
                <w:color w:val="000000"/>
                <w:sz w:val="22"/>
                <w:szCs w:val="22"/>
              </w:rPr>
            </w:pPr>
            <w:r w:rsidRPr="005E30E6">
              <w:rPr>
                <w:color w:val="000000"/>
                <w:sz w:val="22"/>
                <w:szCs w:val="22"/>
              </w:rPr>
              <w:t>Services</w:t>
            </w:r>
          </w:p>
        </w:tc>
        <w:tc>
          <w:tcPr>
            <w:tcW w:w="1715"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160</w:t>
            </w:r>
          </w:p>
        </w:tc>
        <w:tc>
          <w:tcPr>
            <w:tcW w:w="1559"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141</w:t>
            </w:r>
          </w:p>
        </w:tc>
      </w:tr>
      <w:tr w:rsidR="009A3B0A" w:rsidRPr="00C66B91" w:rsidTr="00911666">
        <w:trPr>
          <w:trHeight w:val="300"/>
        </w:trPr>
        <w:tc>
          <w:tcPr>
            <w:tcW w:w="4111" w:type="dxa"/>
            <w:tcBorders>
              <w:top w:val="nil"/>
              <w:left w:val="nil"/>
              <w:bottom w:val="nil"/>
              <w:right w:val="nil"/>
            </w:tcBorders>
            <w:shd w:val="clear" w:color="auto" w:fill="auto"/>
            <w:noWrap/>
            <w:hideMark/>
          </w:tcPr>
          <w:p w:rsidR="009A3B0A" w:rsidRPr="005E30E6" w:rsidRDefault="009A3B0A" w:rsidP="009A3B0A">
            <w:pPr>
              <w:rPr>
                <w:color w:val="000000"/>
                <w:sz w:val="22"/>
                <w:szCs w:val="22"/>
              </w:rPr>
            </w:pPr>
            <w:r w:rsidRPr="005E30E6">
              <w:rPr>
                <w:sz w:val="22"/>
                <w:szCs w:val="22"/>
              </w:rPr>
              <w:t>Omnicar Auto OOD</w:t>
            </w:r>
          </w:p>
        </w:tc>
        <w:tc>
          <w:tcPr>
            <w:tcW w:w="1687" w:type="dxa"/>
            <w:tcBorders>
              <w:top w:val="nil"/>
              <w:left w:val="nil"/>
              <w:bottom w:val="nil"/>
              <w:right w:val="nil"/>
            </w:tcBorders>
            <w:shd w:val="clear" w:color="auto" w:fill="auto"/>
            <w:hideMark/>
          </w:tcPr>
          <w:p w:rsidR="009A3B0A" w:rsidRPr="005E30E6" w:rsidRDefault="009A3B0A" w:rsidP="009A3B0A">
            <w:pPr>
              <w:rPr>
                <w:color w:val="000000"/>
                <w:sz w:val="22"/>
                <w:szCs w:val="22"/>
              </w:rPr>
            </w:pPr>
            <w:r w:rsidRPr="005E30E6">
              <w:rPr>
                <w:color w:val="000000"/>
                <w:sz w:val="22"/>
                <w:szCs w:val="22"/>
              </w:rPr>
              <w:t>Services</w:t>
            </w:r>
          </w:p>
        </w:tc>
        <w:tc>
          <w:tcPr>
            <w:tcW w:w="1715"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w:t>
            </w:r>
          </w:p>
        </w:tc>
        <w:tc>
          <w:tcPr>
            <w:tcW w:w="1559"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16</w:t>
            </w:r>
          </w:p>
        </w:tc>
      </w:tr>
      <w:tr w:rsidR="009A3B0A" w:rsidRPr="00C66B91" w:rsidTr="00911666">
        <w:trPr>
          <w:trHeight w:val="300"/>
        </w:trPr>
        <w:tc>
          <w:tcPr>
            <w:tcW w:w="4111" w:type="dxa"/>
            <w:tcBorders>
              <w:top w:val="nil"/>
              <w:left w:val="nil"/>
              <w:bottom w:val="nil"/>
              <w:right w:val="nil"/>
            </w:tcBorders>
            <w:shd w:val="clear" w:color="auto" w:fill="auto"/>
            <w:noWrap/>
            <w:hideMark/>
          </w:tcPr>
          <w:p w:rsidR="009A3B0A" w:rsidRPr="005E30E6" w:rsidRDefault="009A3B0A" w:rsidP="009A3B0A">
            <w:pPr>
              <w:rPr>
                <w:color w:val="000000"/>
                <w:sz w:val="22"/>
                <w:szCs w:val="22"/>
              </w:rPr>
            </w:pPr>
            <w:r w:rsidRPr="005E30E6">
              <w:rPr>
                <w:color w:val="000000"/>
                <w:sz w:val="22"/>
                <w:szCs w:val="22"/>
              </w:rPr>
              <w:t>Dragomir Winery Estate OOD</w:t>
            </w:r>
          </w:p>
        </w:tc>
        <w:tc>
          <w:tcPr>
            <w:tcW w:w="1687" w:type="dxa"/>
            <w:tcBorders>
              <w:top w:val="nil"/>
              <w:left w:val="nil"/>
              <w:bottom w:val="nil"/>
              <w:right w:val="nil"/>
            </w:tcBorders>
            <w:shd w:val="clear" w:color="auto" w:fill="auto"/>
            <w:hideMark/>
          </w:tcPr>
          <w:p w:rsidR="009A3B0A" w:rsidRPr="005E30E6" w:rsidRDefault="009A3B0A" w:rsidP="009A3B0A">
            <w:pPr>
              <w:rPr>
                <w:color w:val="000000"/>
                <w:sz w:val="22"/>
                <w:szCs w:val="22"/>
              </w:rPr>
            </w:pPr>
            <w:r w:rsidRPr="005E30E6">
              <w:rPr>
                <w:color w:val="000000"/>
                <w:sz w:val="22"/>
                <w:szCs w:val="22"/>
              </w:rPr>
              <w:t>Services</w:t>
            </w:r>
          </w:p>
        </w:tc>
        <w:tc>
          <w:tcPr>
            <w:tcW w:w="1715"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35</w:t>
            </w:r>
          </w:p>
        </w:tc>
        <w:tc>
          <w:tcPr>
            <w:tcW w:w="1559"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9</w:t>
            </w:r>
          </w:p>
        </w:tc>
      </w:tr>
    </w:tbl>
    <w:p w:rsidR="00344723" w:rsidRPr="00C66B91" w:rsidRDefault="00344723" w:rsidP="00344723">
      <w:pPr>
        <w:autoSpaceDE w:val="0"/>
        <w:autoSpaceDN w:val="0"/>
        <w:adjustRightInd w:val="0"/>
        <w:jc w:val="both"/>
        <w:rPr>
          <w:sz w:val="22"/>
          <w:szCs w:val="22"/>
          <w:lang w:val="en-GB"/>
        </w:rPr>
      </w:pPr>
    </w:p>
    <w:p w:rsidR="00344723" w:rsidRPr="00C66B91" w:rsidRDefault="00344723" w:rsidP="00344723">
      <w:pPr>
        <w:autoSpaceDE w:val="0"/>
        <w:autoSpaceDN w:val="0"/>
        <w:adjustRightInd w:val="0"/>
        <w:jc w:val="both"/>
        <w:rPr>
          <w:sz w:val="22"/>
          <w:szCs w:val="22"/>
          <w:lang w:val="en-GB"/>
        </w:rPr>
      </w:pPr>
    </w:p>
    <w:p w:rsidR="00344723" w:rsidRPr="00C66B91" w:rsidRDefault="00344723" w:rsidP="00344723">
      <w:pPr>
        <w:autoSpaceDE w:val="0"/>
        <w:autoSpaceDN w:val="0"/>
        <w:adjustRightInd w:val="0"/>
        <w:jc w:val="both"/>
        <w:rPr>
          <w:sz w:val="22"/>
          <w:szCs w:val="22"/>
          <w:lang w:val="en-GB"/>
        </w:rPr>
      </w:pPr>
    </w:p>
    <w:p w:rsidR="00344723" w:rsidRDefault="009A3B0A" w:rsidP="00344723">
      <w:pPr>
        <w:autoSpaceDE w:val="0"/>
        <w:autoSpaceDN w:val="0"/>
        <w:adjustRightInd w:val="0"/>
        <w:jc w:val="both"/>
        <w:rPr>
          <w:sz w:val="22"/>
          <w:szCs w:val="22"/>
          <w:lang w:val="en-GB"/>
        </w:rPr>
      </w:pPr>
      <w:r w:rsidRPr="009A3B0A">
        <w:rPr>
          <w:sz w:val="22"/>
          <w:szCs w:val="22"/>
          <w:lang w:val="en-GB"/>
        </w:rPr>
        <w:t>The Group purchased the following goods, materials and services from related parties:</w:t>
      </w:r>
    </w:p>
    <w:p w:rsidR="009A3B0A" w:rsidRPr="00C66B91" w:rsidRDefault="009A3B0A" w:rsidP="00344723">
      <w:pPr>
        <w:autoSpaceDE w:val="0"/>
        <w:autoSpaceDN w:val="0"/>
        <w:adjustRightInd w:val="0"/>
        <w:jc w:val="both"/>
        <w:rPr>
          <w:sz w:val="22"/>
          <w:szCs w:val="22"/>
          <w:lang w:val="en-GB"/>
        </w:rPr>
      </w:pPr>
    </w:p>
    <w:tbl>
      <w:tblPr>
        <w:tblW w:w="9072" w:type="dxa"/>
        <w:tblInd w:w="70" w:type="dxa"/>
        <w:tblCellMar>
          <w:left w:w="70" w:type="dxa"/>
          <w:right w:w="70" w:type="dxa"/>
        </w:tblCellMar>
        <w:tblLook w:val="04A0" w:firstRow="1" w:lastRow="0" w:firstColumn="1" w:lastColumn="0" w:noHBand="0" w:noVBand="1"/>
      </w:tblPr>
      <w:tblGrid>
        <w:gridCol w:w="4111"/>
        <w:gridCol w:w="1701"/>
        <w:gridCol w:w="1701"/>
        <w:gridCol w:w="1559"/>
      </w:tblGrid>
      <w:tr w:rsidR="00344723" w:rsidRPr="00C66B91" w:rsidTr="00911666">
        <w:trPr>
          <w:trHeight w:val="315"/>
        </w:trPr>
        <w:tc>
          <w:tcPr>
            <w:tcW w:w="4111" w:type="dxa"/>
            <w:tcBorders>
              <w:top w:val="nil"/>
              <w:left w:val="nil"/>
              <w:bottom w:val="nil"/>
              <w:right w:val="nil"/>
            </w:tcBorders>
            <w:shd w:val="clear" w:color="auto" w:fill="auto"/>
            <w:noWrap/>
            <w:vAlign w:val="bottom"/>
            <w:hideMark/>
          </w:tcPr>
          <w:p w:rsidR="00344723" w:rsidRPr="00C66B91" w:rsidRDefault="00344723" w:rsidP="00911666">
            <w:pPr>
              <w:rPr>
                <w:sz w:val="22"/>
                <w:szCs w:val="22"/>
                <w:lang w:val="en-GB" w:eastAsia="bg-BG"/>
              </w:rPr>
            </w:pPr>
          </w:p>
        </w:tc>
        <w:tc>
          <w:tcPr>
            <w:tcW w:w="1701" w:type="dxa"/>
            <w:tcBorders>
              <w:top w:val="nil"/>
              <w:left w:val="nil"/>
              <w:bottom w:val="nil"/>
              <w:right w:val="nil"/>
            </w:tcBorders>
            <w:shd w:val="clear" w:color="auto" w:fill="auto"/>
            <w:noWrap/>
            <w:vAlign w:val="bottom"/>
            <w:hideMark/>
          </w:tcPr>
          <w:p w:rsidR="00344723" w:rsidRPr="00C66B91" w:rsidRDefault="00344723" w:rsidP="00911666">
            <w:pPr>
              <w:rPr>
                <w:sz w:val="22"/>
                <w:szCs w:val="22"/>
                <w:lang w:val="en-GB"/>
              </w:rPr>
            </w:pPr>
          </w:p>
        </w:tc>
        <w:tc>
          <w:tcPr>
            <w:tcW w:w="1701" w:type="dxa"/>
            <w:tcBorders>
              <w:top w:val="nil"/>
              <w:left w:val="nil"/>
              <w:bottom w:val="single" w:sz="2" w:space="0" w:color="auto"/>
              <w:right w:val="nil"/>
            </w:tcBorders>
            <w:shd w:val="clear" w:color="auto" w:fill="auto"/>
            <w:vAlign w:val="bottom"/>
            <w:hideMark/>
          </w:tcPr>
          <w:p w:rsidR="00344723" w:rsidRPr="00C66B91" w:rsidRDefault="008A588E" w:rsidP="00911666">
            <w:pPr>
              <w:jc w:val="center"/>
              <w:rPr>
                <w:b/>
                <w:bCs/>
                <w:color w:val="000000"/>
                <w:sz w:val="22"/>
                <w:szCs w:val="22"/>
                <w:lang w:val="en-GB"/>
              </w:rPr>
            </w:pPr>
            <w:r w:rsidRPr="00C66B91">
              <w:rPr>
                <w:b/>
                <w:bCs/>
                <w:color w:val="000000"/>
                <w:sz w:val="22"/>
                <w:szCs w:val="22"/>
                <w:lang w:val="en-GB"/>
              </w:rPr>
              <w:t>30.06</w:t>
            </w:r>
            <w:r w:rsidR="00344723" w:rsidRPr="00C66B91">
              <w:rPr>
                <w:b/>
                <w:bCs/>
                <w:color w:val="000000"/>
                <w:sz w:val="22"/>
                <w:szCs w:val="22"/>
                <w:lang w:val="en-GB"/>
              </w:rPr>
              <w:t>.2015</w:t>
            </w:r>
          </w:p>
        </w:tc>
        <w:tc>
          <w:tcPr>
            <w:tcW w:w="1559" w:type="dxa"/>
            <w:tcBorders>
              <w:top w:val="nil"/>
              <w:left w:val="nil"/>
              <w:bottom w:val="single" w:sz="2" w:space="0" w:color="auto"/>
              <w:right w:val="nil"/>
            </w:tcBorders>
            <w:shd w:val="clear" w:color="auto" w:fill="auto"/>
            <w:vAlign w:val="bottom"/>
            <w:hideMark/>
          </w:tcPr>
          <w:p w:rsidR="00344723" w:rsidRPr="00C66B91" w:rsidRDefault="008A588E" w:rsidP="00911666">
            <w:pPr>
              <w:jc w:val="center"/>
              <w:rPr>
                <w:b/>
                <w:bCs/>
                <w:color w:val="000000"/>
                <w:sz w:val="22"/>
                <w:szCs w:val="22"/>
                <w:lang w:val="en-GB"/>
              </w:rPr>
            </w:pPr>
            <w:r w:rsidRPr="00C66B91">
              <w:rPr>
                <w:b/>
                <w:bCs/>
                <w:color w:val="000000"/>
                <w:sz w:val="22"/>
                <w:szCs w:val="22"/>
                <w:lang w:val="en-GB"/>
              </w:rPr>
              <w:t>30.06</w:t>
            </w:r>
            <w:r w:rsidR="00344723" w:rsidRPr="00C66B91">
              <w:rPr>
                <w:b/>
                <w:bCs/>
                <w:color w:val="000000"/>
                <w:sz w:val="22"/>
                <w:szCs w:val="22"/>
                <w:lang w:val="en-GB"/>
              </w:rPr>
              <w:t>.2014</w:t>
            </w:r>
          </w:p>
        </w:tc>
      </w:tr>
      <w:tr w:rsidR="00344723" w:rsidRPr="00C66B91" w:rsidTr="00911666">
        <w:trPr>
          <w:trHeight w:val="300"/>
        </w:trPr>
        <w:tc>
          <w:tcPr>
            <w:tcW w:w="4111" w:type="dxa"/>
            <w:tcBorders>
              <w:top w:val="nil"/>
              <w:left w:val="nil"/>
              <w:bottom w:val="nil"/>
              <w:right w:val="nil"/>
            </w:tcBorders>
            <w:shd w:val="clear" w:color="auto" w:fill="auto"/>
            <w:noWrap/>
            <w:vAlign w:val="bottom"/>
            <w:hideMark/>
          </w:tcPr>
          <w:p w:rsidR="00344723" w:rsidRPr="00C66B91" w:rsidRDefault="00344723" w:rsidP="00911666">
            <w:pPr>
              <w:ind w:right="922"/>
              <w:jc w:val="center"/>
              <w:rPr>
                <w:b/>
                <w:bCs/>
                <w:color w:val="000000"/>
                <w:sz w:val="22"/>
                <w:szCs w:val="22"/>
                <w:lang w:val="en-GB"/>
              </w:rPr>
            </w:pPr>
          </w:p>
        </w:tc>
        <w:tc>
          <w:tcPr>
            <w:tcW w:w="1701" w:type="dxa"/>
            <w:tcBorders>
              <w:top w:val="nil"/>
              <w:left w:val="nil"/>
              <w:bottom w:val="nil"/>
              <w:right w:val="nil"/>
            </w:tcBorders>
            <w:shd w:val="clear" w:color="auto" w:fill="auto"/>
            <w:noWrap/>
            <w:vAlign w:val="bottom"/>
            <w:hideMark/>
          </w:tcPr>
          <w:p w:rsidR="00344723" w:rsidRPr="00C66B91" w:rsidRDefault="00344723" w:rsidP="00911666">
            <w:pPr>
              <w:rPr>
                <w:sz w:val="22"/>
                <w:szCs w:val="22"/>
                <w:lang w:val="en-GB"/>
              </w:rPr>
            </w:pPr>
          </w:p>
        </w:tc>
        <w:tc>
          <w:tcPr>
            <w:tcW w:w="1701" w:type="dxa"/>
            <w:tcBorders>
              <w:top w:val="single" w:sz="2" w:space="0" w:color="auto"/>
              <w:left w:val="nil"/>
              <w:bottom w:val="nil"/>
              <w:right w:val="nil"/>
            </w:tcBorders>
            <w:shd w:val="clear" w:color="auto" w:fill="auto"/>
            <w:vAlign w:val="bottom"/>
            <w:hideMark/>
          </w:tcPr>
          <w:p w:rsidR="00344723" w:rsidRPr="00C66B91" w:rsidRDefault="00344723" w:rsidP="00911666">
            <w:pPr>
              <w:jc w:val="center"/>
              <w:rPr>
                <w:b/>
                <w:color w:val="000000"/>
                <w:sz w:val="22"/>
                <w:szCs w:val="22"/>
                <w:lang w:val="en-GB"/>
              </w:rPr>
            </w:pPr>
            <w:r w:rsidRPr="00C66B91">
              <w:rPr>
                <w:b/>
                <w:color w:val="000000"/>
                <w:sz w:val="22"/>
                <w:szCs w:val="22"/>
                <w:lang w:val="en-GB"/>
              </w:rPr>
              <w:t>BGN’000</w:t>
            </w:r>
          </w:p>
        </w:tc>
        <w:tc>
          <w:tcPr>
            <w:tcW w:w="1559" w:type="dxa"/>
            <w:tcBorders>
              <w:top w:val="single" w:sz="2" w:space="0" w:color="auto"/>
              <w:left w:val="nil"/>
              <w:bottom w:val="nil"/>
              <w:right w:val="nil"/>
            </w:tcBorders>
            <w:shd w:val="clear" w:color="auto" w:fill="auto"/>
            <w:vAlign w:val="bottom"/>
            <w:hideMark/>
          </w:tcPr>
          <w:p w:rsidR="00344723" w:rsidRPr="00C66B91" w:rsidRDefault="00344723" w:rsidP="00911666">
            <w:pPr>
              <w:jc w:val="center"/>
              <w:rPr>
                <w:b/>
                <w:color w:val="000000"/>
                <w:sz w:val="22"/>
                <w:szCs w:val="22"/>
                <w:lang w:val="en-GB"/>
              </w:rPr>
            </w:pPr>
            <w:r w:rsidRPr="00C66B91">
              <w:rPr>
                <w:b/>
                <w:color w:val="000000"/>
                <w:sz w:val="22"/>
                <w:szCs w:val="22"/>
                <w:lang w:val="en-GB"/>
              </w:rPr>
              <w:t>BGN’000</w:t>
            </w:r>
          </w:p>
        </w:tc>
      </w:tr>
      <w:tr w:rsidR="00344723" w:rsidRPr="00C66B91" w:rsidTr="00911666">
        <w:trPr>
          <w:trHeight w:val="300"/>
        </w:trPr>
        <w:tc>
          <w:tcPr>
            <w:tcW w:w="4111" w:type="dxa"/>
            <w:tcBorders>
              <w:top w:val="nil"/>
              <w:left w:val="nil"/>
              <w:bottom w:val="nil"/>
              <w:right w:val="nil"/>
            </w:tcBorders>
            <w:shd w:val="clear" w:color="auto" w:fill="auto"/>
            <w:noWrap/>
            <w:vAlign w:val="bottom"/>
            <w:hideMark/>
          </w:tcPr>
          <w:p w:rsidR="00344723" w:rsidRPr="00C66B91" w:rsidRDefault="00344723" w:rsidP="00911666">
            <w:pPr>
              <w:jc w:val="center"/>
              <w:rPr>
                <w:color w:val="000000"/>
                <w:sz w:val="22"/>
                <w:szCs w:val="22"/>
                <w:lang w:val="en-GB"/>
              </w:rPr>
            </w:pPr>
          </w:p>
        </w:tc>
        <w:tc>
          <w:tcPr>
            <w:tcW w:w="1701" w:type="dxa"/>
            <w:tcBorders>
              <w:top w:val="nil"/>
              <w:left w:val="nil"/>
              <w:bottom w:val="nil"/>
              <w:right w:val="nil"/>
            </w:tcBorders>
            <w:shd w:val="clear" w:color="auto" w:fill="auto"/>
            <w:noWrap/>
            <w:vAlign w:val="bottom"/>
            <w:hideMark/>
          </w:tcPr>
          <w:p w:rsidR="00344723" w:rsidRPr="00C66B91" w:rsidRDefault="00344723" w:rsidP="00911666">
            <w:pPr>
              <w:jc w:val="both"/>
              <w:rPr>
                <w:sz w:val="22"/>
                <w:szCs w:val="22"/>
                <w:lang w:val="en-GB"/>
              </w:rPr>
            </w:pPr>
          </w:p>
        </w:tc>
        <w:tc>
          <w:tcPr>
            <w:tcW w:w="1701" w:type="dxa"/>
            <w:tcBorders>
              <w:top w:val="nil"/>
              <w:left w:val="nil"/>
              <w:bottom w:val="nil"/>
              <w:right w:val="nil"/>
            </w:tcBorders>
            <w:shd w:val="clear" w:color="auto" w:fill="auto"/>
            <w:noWrap/>
            <w:vAlign w:val="bottom"/>
            <w:hideMark/>
          </w:tcPr>
          <w:p w:rsidR="00344723" w:rsidRPr="00C66B91" w:rsidRDefault="00344723" w:rsidP="00911666">
            <w:pPr>
              <w:rPr>
                <w:sz w:val="22"/>
                <w:szCs w:val="22"/>
                <w:lang w:val="en-GB"/>
              </w:rPr>
            </w:pPr>
          </w:p>
        </w:tc>
        <w:tc>
          <w:tcPr>
            <w:tcW w:w="1559" w:type="dxa"/>
            <w:tcBorders>
              <w:top w:val="nil"/>
              <w:left w:val="nil"/>
              <w:bottom w:val="nil"/>
              <w:right w:val="nil"/>
            </w:tcBorders>
            <w:shd w:val="clear" w:color="auto" w:fill="auto"/>
            <w:noWrap/>
            <w:vAlign w:val="bottom"/>
            <w:hideMark/>
          </w:tcPr>
          <w:p w:rsidR="00344723" w:rsidRPr="00C66B91" w:rsidRDefault="00344723" w:rsidP="00911666">
            <w:pPr>
              <w:rPr>
                <w:sz w:val="22"/>
                <w:szCs w:val="22"/>
                <w:lang w:val="en-GB"/>
              </w:rPr>
            </w:pPr>
          </w:p>
        </w:tc>
      </w:tr>
      <w:tr w:rsidR="009A3B0A" w:rsidRPr="00C66B91" w:rsidTr="00911666">
        <w:trPr>
          <w:trHeight w:val="300"/>
        </w:trPr>
        <w:tc>
          <w:tcPr>
            <w:tcW w:w="4111" w:type="dxa"/>
            <w:tcBorders>
              <w:top w:val="nil"/>
              <w:left w:val="nil"/>
              <w:bottom w:val="nil"/>
              <w:right w:val="nil"/>
            </w:tcBorders>
            <w:shd w:val="clear" w:color="auto" w:fill="auto"/>
            <w:noWrap/>
            <w:hideMark/>
          </w:tcPr>
          <w:p w:rsidR="009A3B0A" w:rsidRPr="005E30E6" w:rsidRDefault="009A3B0A" w:rsidP="009A3B0A">
            <w:pPr>
              <w:rPr>
                <w:color w:val="000000"/>
                <w:sz w:val="22"/>
                <w:szCs w:val="22"/>
              </w:rPr>
            </w:pPr>
            <w:r w:rsidRPr="005E30E6">
              <w:rPr>
                <w:color w:val="000000"/>
                <w:sz w:val="22"/>
                <w:szCs w:val="22"/>
              </w:rPr>
              <w:t>Transbalkan group OOD</w:t>
            </w:r>
          </w:p>
        </w:tc>
        <w:tc>
          <w:tcPr>
            <w:tcW w:w="1701" w:type="dxa"/>
            <w:tcBorders>
              <w:top w:val="nil"/>
              <w:left w:val="nil"/>
              <w:bottom w:val="nil"/>
              <w:right w:val="nil"/>
            </w:tcBorders>
            <w:shd w:val="clear" w:color="auto" w:fill="auto"/>
            <w:hideMark/>
          </w:tcPr>
          <w:p w:rsidR="009A3B0A" w:rsidRPr="005E30E6" w:rsidRDefault="009A3B0A" w:rsidP="009A3B0A">
            <w:pPr>
              <w:rPr>
                <w:color w:val="000000"/>
                <w:sz w:val="22"/>
                <w:szCs w:val="22"/>
              </w:rPr>
            </w:pPr>
            <w:r w:rsidRPr="005E30E6">
              <w:rPr>
                <w:color w:val="000000"/>
                <w:sz w:val="22"/>
                <w:szCs w:val="22"/>
              </w:rPr>
              <w:t xml:space="preserve">Services </w:t>
            </w:r>
          </w:p>
        </w:tc>
        <w:tc>
          <w:tcPr>
            <w:tcW w:w="1701"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4,927</w:t>
            </w:r>
          </w:p>
        </w:tc>
        <w:tc>
          <w:tcPr>
            <w:tcW w:w="1559"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3,860</w:t>
            </w:r>
          </w:p>
        </w:tc>
      </w:tr>
      <w:tr w:rsidR="009A3B0A" w:rsidRPr="00C66B91" w:rsidTr="00911666">
        <w:trPr>
          <w:trHeight w:val="300"/>
        </w:trPr>
        <w:tc>
          <w:tcPr>
            <w:tcW w:w="4111" w:type="dxa"/>
            <w:tcBorders>
              <w:top w:val="nil"/>
              <w:left w:val="nil"/>
              <w:bottom w:val="nil"/>
              <w:right w:val="nil"/>
            </w:tcBorders>
            <w:shd w:val="clear" w:color="auto" w:fill="auto"/>
            <w:noWrap/>
            <w:hideMark/>
          </w:tcPr>
          <w:p w:rsidR="009A3B0A" w:rsidRPr="005E30E6" w:rsidRDefault="009A3B0A" w:rsidP="009A3B0A">
            <w:pPr>
              <w:rPr>
                <w:color w:val="000000"/>
                <w:sz w:val="22"/>
                <w:szCs w:val="22"/>
              </w:rPr>
            </w:pPr>
            <w:r w:rsidRPr="005E30E6">
              <w:rPr>
                <w:sz w:val="22"/>
                <w:szCs w:val="22"/>
              </w:rPr>
              <w:t>Omnicar Auto OOD</w:t>
            </w:r>
          </w:p>
        </w:tc>
        <w:tc>
          <w:tcPr>
            <w:tcW w:w="1701" w:type="dxa"/>
            <w:tcBorders>
              <w:top w:val="nil"/>
              <w:left w:val="nil"/>
              <w:bottom w:val="nil"/>
              <w:right w:val="nil"/>
            </w:tcBorders>
            <w:shd w:val="clear" w:color="auto" w:fill="auto"/>
            <w:hideMark/>
          </w:tcPr>
          <w:p w:rsidR="009A3B0A" w:rsidRPr="005E30E6" w:rsidRDefault="009A3B0A" w:rsidP="009A3B0A">
            <w:pPr>
              <w:rPr>
                <w:color w:val="000000"/>
                <w:sz w:val="22"/>
                <w:szCs w:val="22"/>
              </w:rPr>
            </w:pPr>
            <w:r w:rsidRPr="005E30E6">
              <w:rPr>
                <w:color w:val="000000"/>
                <w:sz w:val="22"/>
                <w:szCs w:val="22"/>
              </w:rPr>
              <w:t>Services</w:t>
            </w:r>
          </w:p>
        </w:tc>
        <w:tc>
          <w:tcPr>
            <w:tcW w:w="1701"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383</w:t>
            </w:r>
          </w:p>
        </w:tc>
        <w:tc>
          <w:tcPr>
            <w:tcW w:w="1559"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294</w:t>
            </w:r>
          </w:p>
        </w:tc>
      </w:tr>
      <w:tr w:rsidR="009A3B0A" w:rsidRPr="00C66B91" w:rsidTr="00911666">
        <w:trPr>
          <w:trHeight w:val="300"/>
        </w:trPr>
        <w:tc>
          <w:tcPr>
            <w:tcW w:w="4111" w:type="dxa"/>
            <w:tcBorders>
              <w:top w:val="nil"/>
              <w:left w:val="nil"/>
              <w:bottom w:val="nil"/>
              <w:right w:val="nil"/>
            </w:tcBorders>
            <w:shd w:val="clear" w:color="auto" w:fill="auto"/>
            <w:noWrap/>
            <w:hideMark/>
          </w:tcPr>
          <w:p w:rsidR="009A3B0A" w:rsidRPr="005E30E6" w:rsidRDefault="009A3B0A" w:rsidP="009A3B0A">
            <w:pPr>
              <w:rPr>
                <w:color w:val="000000"/>
                <w:sz w:val="22"/>
                <w:szCs w:val="22"/>
              </w:rPr>
            </w:pPr>
            <w:r w:rsidRPr="005E30E6">
              <w:rPr>
                <w:color w:val="000000"/>
                <w:sz w:val="22"/>
                <w:szCs w:val="22"/>
              </w:rPr>
              <w:t>Omnicar BG EOOD</w:t>
            </w:r>
          </w:p>
        </w:tc>
        <w:tc>
          <w:tcPr>
            <w:tcW w:w="1701" w:type="dxa"/>
            <w:tcBorders>
              <w:top w:val="nil"/>
              <w:left w:val="nil"/>
              <w:bottom w:val="nil"/>
              <w:right w:val="nil"/>
            </w:tcBorders>
            <w:shd w:val="clear" w:color="auto" w:fill="auto"/>
            <w:hideMark/>
          </w:tcPr>
          <w:p w:rsidR="009A3B0A" w:rsidRPr="005E30E6" w:rsidRDefault="009A3B0A" w:rsidP="009A3B0A">
            <w:pPr>
              <w:rPr>
                <w:color w:val="000000"/>
                <w:sz w:val="22"/>
                <w:szCs w:val="22"/>
              </w:rPr>
            </w:pPr>
            <w:r w:rsidRPr="005E30E6">
              <w:rPr>
                <w:color w:val="000000"/>
                <w:sz w:val="22"/>
                <w:szCs w:val="22"/>
              </w:rPr>
              <w:t>Services</w:t>
            </w:r>
          </w:p>
        </w:tc>
        <w:tc>
          <w:tcPr>
            <w:tcW w:w="1701"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52</w:t>
            </w:r>
          </w:p>
        </w:tc>
        <w:tc>
          <w:tcPr>
            <w:tcW w:w="1559"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46</w:t>
            </w:r>
          </w:p>
        </w:tc>
      </w:tr>
      <w:tr w:rsidR="009A3B0A" w:rsidRPr="00C66B91" w:rsidTr="00911666">
        <w:trPr>
          <w:trHeight w:val="300"/>
        </w:trPr>
        <w:tc>
          <w:tcPr>
            <w:tcW w:w="4111" w:type="dxa"/>
            <w:tcBorders>
              <w:top w:val="nil"/>
              <w:left w:val="nil"/>
              <w:bottom w:val="nil"/>
              <w:right w:val="nil"/>
            </w:tcBorders>
            <w:shd w:val="clear" w:color="auto" w:fill="auto"/>
            <w:noWrap/>
            <w:hideMark/>
          </w:tcPr>
          <w:p w:rsidR="009A3B0A" w:rsidRPr="005E30E6" w:rsidRDefault="009A3B0A" w:rsidP="009A3B0A">
            <w:pPr>
              <w:rPr>
                <w:color w:val="000000"/>
                <w:sz w:val="22"/>
                <w:szCs w:val="22"/>
              </w:rPr>
            </w:pPr>
            <w:r w:rsidRPr="005E30E6">
              <w:rPr>
                <w:color w:val="000000"/>
                <w:sz w:val="22"/>
                <w:szCs w:val="22"/>
              </w:rPr>
              <w:t>Dragomir Winery Estate OOD</w:t>
            </w:r>
          </w:p>
        </w:tc>
        <w:tc>
          <w:tcPr>
            <w:tcW w:w="1701" w:type="dxa"/>
            <w:tcBorders>
              <w:top w:val="nil"/>
              <w:left w:val="nil"/>
              <w:bottom w:val="nil"/>
              <w:right w:val="nil"/>
            </w:tcBorders>
            <w:shd w:val="clear" w:color="auto" w:fill="auto"/>
            <w:hideMark/>
          </w:tcPr>
          <w:p w:rsidR="009A3B0A" w:rsidRPr="005E30E6" w:rsidRDefault="009A3B0A" w:rsidP="009A3B0A">
            <w:pPr>
              <w:rPr>
                <w:color w:val="000000"/>
                <w:sz w:val="22"/>
                <w:szCs w:val="22"/>
              </w:rPr>
            </w:pPr>
            <w:r w:rsidRPr="005E30E6">
              <w:rPr>
                <w:color w:val="000000"/>
                <w:sz w:val="22"/>
                <w:szCs w:val="22"/>
              </w:rPr>
              <w:t>Goods</w:t>
            </w:r>
          </w:p>
        </w:tc>
        <w:tc>
          <w:tcPr>
            <w:tcW w:w="1701"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34</w:t>
            </w:r>
          </w:p>
        </w:tc>
        <w:tc>
          <w:tcPr>
            <w:tcW w:w="1559" w:type="dxa"/>
            <w:tcBorders>
              <w:top w:val="nil"/>
              <w:left w:val="nil"/>
              <w:bottom w:val="nil"/>
              <w:right w:val="nil"/>
            </w:tcBorders>
            <w:shd w:val="clear" w:color="auto" w:fill="auto"/>
            <w:noWrap/>
            <w:tcMar>
              <w:right w:w="284" w:type="dxa"/>
            </w:tcMar>
          </w:tcPr>
          <w:p w:rsidR="009A3B0A" w:rsidRPr="00C66B91" w:rsidRDefault="009A3B0A" w:rsidP="009A3B0A">
            <w:pPr>
              <w:jc w:val="right"/>
              <w:rPr>
                <w:color w:val="000000"/>
                <w:sz w:val="22"/>
                <w:szCs w:val="22"/>
                <w:lang w:val="en-GB"/>
              </w:rPr>
            </w:pPr>
            <w:r w:rsidRPr="00C66B91">
              <w:rPr>
                <w:color w:val="000000"/>
                <w:sz w:val="22"/>
                <w:szCs w:val="22"/>
                <w:lang w:val="en-GB"/>
              </w:rPr>
              <w:t>23</w:t>
            </w:r>
          </w:p>
        </w:tc>
      </w:tr>
    </w:tbl>
    <w:p w:rsidR="00E922D1" w:rsidRPr="00C66B91" w:rsidRDefault="00E922D1" w:rsidP="00E922D1">
      <w:pPr>
        <w:numPr>
          <w:ilvl w:val="12"/>
          <w:numId w:val="0"/>
        </w:numPr>
        <w:jc w:val="both"/>
        <w:rPr>
          <w:sz w:val="22"/>
          <w:szCs w:val="22"/>
          <w:lang w:val="en-GB"/>
        </w:rPr>
      </w:pPr>
      <w:bookmarkStart w:id="4" w:name="_GoBack"/>
      <w:bookmarkEnd w:id="4"/>
    </w:p>
    <w:sectPr w:rsidR="00E922D1" w:rsidRPr="00C66B91" w:rsidSect="00C46C22">
      <w:headerReference w:type="default" r:id="rId28"/>
      <w:type w:val="continuous"/>
      <w:pgSz w:w="11907" w:h="16840" w:code="9"/>
      <w:pgMar w:top="1412" w:right="1559" w:bottom="1077" w:left="1259" w:header="709" w:footer="295"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67A" w:rsidRDefault="007E067A">
      <w:r>
        <w:separator/>
      </w:r>
    </w:p>
  </w:endnote>
  <w:endnote w:type="continuationSeparator" w:id="0">
    <w:p w:rsidR="007E067A" w:rsidRDefault="007E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ok">
    <w:charset w:val="02"/>
    <w:family w:val="auto"/>
    <w:pitch w:val="variable"/>
    <w:sig w:usb0="00000003" w:usb1="10000000" w:usb2="00000000" w:usb3="00000000" w:csb0="80000001"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EY Gothic Cond DemiPS">
    <w:altName w:val="Times New Roman"/>
    <w:panose1 w:val="00000000000000000000"/>
    <w:charset w:val="00"/>
    <w:family w:val="auto"/>
    <w:notTrueType/>
    <w:pitch w:val="variable"/>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EY Gothic Cond MedP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874F77" w:rsidRDefault="001430AC" w:rsidP="00C46C22">
    <w:pPr>
      <w:pStyle w:val="Footer"/>
      <w:framePr w:wrap="around" w:vAnchor="text" w:hAnchor="margin" w:xAlign="right" w:y="1"/>
      <w:rPr>
        <w:rStyle w:val="PageNumber"/>
        <w:sz w:val="22"/>
        <w:szCs w:val="22"/>
      </w:rPr>
    </w:pPr>
    <w:r w:rsidRPr="00874F77">
      <w:rPr>
        <w:rStyle w:val="PageNumber"/>
        <w:sz w:val="22"/>
        <w:szCs w:val="22"/>
      </w:rPr>
      <w:fldChar w:fldCharType="begin"/>
    </w:r>
    <w:r w:rsidRPr="00874F77">
      <w:rPr>
        <w:rStyle w:val="PageNumber"/>
        <w:sz w:val="22"/>
        <w:szCs w:val="22"/>
      </w:rPr>
      <w:instrText xml:space="preserve">PAGE  </w:instrText>
    </w:r>
    <w:r w:rsidRPr="00874F77">
      <w:rPr>
        <w:rStyle w:val="PageNumber"/>
        <w:sz w:val="22"/>
        <w:szCs w:val="22"/>
      </w:rPr>
      <w:fldChar w:fldCharType="separate"/>
    </w:r>
    <w:r w:rsidR="009A3B0A">
      <w:rPr>
        <w:rStyle w:val="PageNumber"/>
        <w:noProof/>
        <w:sz w:val="22"/>
        <w:szCs w:val="22"/>
      </w:rPr>
      <w:t>4</w:t>
    </w:r>
    <w:r w:rsidRPr="00874F77">
      <w:rPr>
        <w:rStyle w:val="PageNumber"/>
        <w:sz w:val="22"/>
        <w:szCs w:val="22"/>
      </w:rPr>
      <w:fldChar w:fldCharType="end"/>
    </w:r>
  </w:p>
  <w:p w:rsidR="001430AC" w:rsidRDefault="001430AC" w:rsidP="00C46C22">
    <w:pPr>
      <w:pStyle w:val="Footer"/>
      <w:ind w:right="360"/>
      <w:jc w:val="right"/>
      <w:rPr>
        <w:b/>
        <w:bCs/>
        <w:i/>
        <w:iCs/>
        <w:sz w:val="20"/>
        <w:lang w:val="bg-BG"/>
      </w:rPr>
    </w:pPr>
  </w:p>
  <w:p w:rsidR="001430AC" w:rsidRPr="00BE3E78" w:rsidRDefault="001430AC" w:rsidP="00C46C22">
    <w:pPr>
      <w:pStyle w:val="Footer"/>
      <w:ind w:right="360"/>
      <w:rPr>
        <w:b/>
        <w:bCs/>
        <w:i/>
        <w:iCs/>
        <w:sz w:val="20"/>
        <w:lang w:val="bg-BG"/>
      </w:rPr>
    </w:pPr>
    <w:r>
      <w:rPr>
        <w:b/>
        <w:bCs/>
        <w:i/>
        <w:iCs/>
        <w:sz w:val="20"/>
      </w:rPr>
      <w:t>Consolidated financial statement</w:t>
    </w:r>
    <w:r w:rsidRPr="006C06CD">
      <w:rPr>
        <w:b/>
        <w:bCs/>
        <w:i/>
        <w:iCs/>
        <w:sz w:val="20"/>
        <w:lang w:val="bg-BG"/>
      </w:rPr>
      <w:t xml:space="preserve"> </w:t>
    </w:r>
    <w:r>
      <w:rPr>
        <w:b/>
        <w:bCs/>
        <w:i/>
        <w:iCs/>
        <w:sz w:val="20"/>
        <w:lang w:val="bg-BG"/>
      </w:rPr>
      <w:t xml:space="preserve">30 </w:t>
    </w:r>
    <w:r>
      <w:rPr>
        <w:b/>
        <w:bCs/>
        <w:i/>
        <w:iCs/>
        <w:sz w:val="20"/>
      </w:rPr>
      <w:t>June</w:t>
    </w:r>
    <w:r w:rsidRPr="006C06CD">
      <w:rPr>
        <w:b/>
        <w:bCs/>
        <w:i/>
        <w:iCs/>
        <w:sz w:val="20"/>
        <w:lang w:val="bg-BG"/>
      </w:rPr>
      <w:t xml:space="preserve"> 201</w:t>
    </w:r>
    <w:r>
      <w:rPr>
        <w:b/>
        <w:bCs/>
        <w:i/>
        <w:iCs/>
        <w:sz w:val="20"/>
        <w:lang w:val="bg-BG"/>
      </w:rPr>
      <w:t>5</w:t>
    </w:r>
  </w:p>
  <w:p w:rsidR="001430AC" w:rsidRPr="0030257D" w:rsidRDefault="001430AC" w:rsidP="00C46C22">
    <w:pPr>
      <w:pStyle w:val="Footer"/>
      <w:ind w:right="360"/>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874F77" w:rsidRDefault="001430AC" w:rsidP="00C46C22">
    <w:pPr>
      <w:pStyle w:val="Footer"/>
      <w:framePr w:wrap="around" w:vAnchor="text" w:hAnchor="margin" w:xAlign="right" w:y="1"/>
      <w:rPr>
        <w:rStyle w:val="PageNumber"/>
        <w:sz w:val="22"/>
        <w:szCs w:val="22"/>
      </w:rPr>
    </w:pPr>
    <w:r w:rsidRPr="00874F77">
      <w:rPr>
        <w:rStyle w:val="PageNumber"/>
        <w:sz w:val="22"/>
        <w:szCs w:val="22"/>
      </w:rPr>
      <w:fldChar w:fldCharType="begin"/>
    </w:r>
    <w:r w:rsidRPr="00874F77">
      <w:rPr>
        <w:rStyle w:val="PageNumber"/>
        <w:sz w:val="22"/>
        <w:szCs w:val="22"/>
      </w:rPr>
      <w:instrText xml:space="preserve">PAGE  </w:instrText>
    </w:r>
    <w:r w:rsidRPr="00874F77">
      <w:rPr>
        <w:rStyle w:val="PageNumber"/>
        <w:sz w:val="22"/>
        <w:szCs w:val="22"/>
      </w:rPr>
      <w:fldChar w:fldCharType="separate"/>
    </w:r>
    <w:r w:rsidR="009A3B0A">
      <w:rPr>
        <w:rStyle w:val="PageNumber"/>
        <w:noProof/>
        <w:sz w:val="22"/>
        <w:szCs w:val="22"/>
      </w:rPr>
      <w:t>5</w:t>
    </w:r>
    <w:r w:rsidRPr="00874F77">
      <w:rPr>
        <w:rStyle w:val="PageNumber"/>
        <w:sz w:val="22"/>
        <w:szCs w:val="22"/>
      </w:rPr>
      <w:fldChar w:fldCharType="end"/>
    </w:r>
  </w:p>
  <w:p w:rsidR="001430AC" w:rsidRDefault="001430AC" w:rsidP="00C46C22">
    <w:pPr>
      <w:pStyle w:val="Footer"/>
      <w:ind w:right="360"/>
      <w:jc w:val="right"/>
      <w:rPr>
        <w:b/>
        <w:bCs/>
        <w:i/>
        <w:iCs/>
        <w:sz w:val="20"/>
        <w:lang w:val="bg-BG"/>
      </w:rPr>
    </w:pPr>
  </w:p>
  <w:p w:rsidR="001430AC" w:rsidRPr="0082243E" w:rsidRDefault="001430AC" w:rsidP="00C46C22">
    <w:pPr>
      <w:pStyle w:val="Footer"/>
      <w:ind w:right="360"/>
      <w:rPr>
        <w:b/>
        <w:bCs/>
        <w:i/>
        <w:iCs/>
        <w:sz w:val="20"/>
        <w:lang w:val="bg-BG"/>
      </w:rPr>
    </w:pPr>
    <w:r>
      <w:rPr>
        <w:b/>
        <w:bCs/>
        <w:i/>
        <w:iCs/>
        <w:sz w:val="20"/>
      </w:rPr>
      <w:t>Consolidated financial statement</w:t>
    </w:r>
    <w:r w:rsidRPr="006C06CD">
      <w:rPr>
        <w:b/>
        <w:bCs/>
        <w:i/>
        <w:iCs/>
        <w:sz w:val="20"/>
        <w:lang w:val="bg-BG"/>
      </w:rPr>
      <w:t xml:space="preserve"> </w:t>
    </w:r>
    <w:r>
      <w:rPr>
        <w:b/>
        <w:bCs/>
        <w:i/>
        <w:iCs/>
        <w:sz w:val="20"/>
        <w:lang w:val="bg-BG"/>
      </w:rPr>
      <w:t xml:space="preserve">30 </w:t>
    </w:r>
    <w:r>
      <w:rPr>
        <w:b/>
        <w:bCs/>
        <w:i/>
        <w:iCs/>
        <w:sz w:val="20"/>
      </w:rPr>
      <w:t>June</w:t>
    </w:r>
    <w:r w:rsidRPr="006C06CD">
      <w:rPr>
        <w:b/>
        <w:bCs/>
        <w:i/>
        <w:iCs/>
        <w:sz w:val="20"/>
        <w:lang w:val="bg-BG"/>
      </w:rPr>
      <w:t xml:space="preserve"> 201</w:t>
    </w:r>
    <w:r>
      <w:rPr>
        <w:b/>
        <w:bCs/>
        <w:i/>
        <w:iCs/>
        <w:sz w:val="20"/>
        <w:lang w:val="bg-BG"/>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874F77" w:rsidRDefault="001430AC" w:rsidP="00C46C22">
    <w:pPr>
      <w:pStyle w:val="Footer"/>
      <w:framePr w:wrap="around" w:vAnchor="text" w:hAnchor="margin" w:xAlign="right" w:y="1"/>
      <w:rPr>
        <w:rStyle w:val="PageNumber"/>
        <w:sz w:val="22"/>
        <w:szCs w:val="22"/>
      </w:rPr>
    </w:pPr>
    <w:r w:rsidRPr="00874F77">
      <w:rPr>
        <w:rStyle w:val="PageNumber"/>
        <w:sz w:val="22"/>
        <w:szCs w:val="22"/>
      </w:rPr>
      <w:fldChar w:fldCharType="begin"/>
    </w:r>
    <w:r w:rsidRPr="00874F77">
      <w:rPr>
        <w:rStyle w:val="PageNumber"/>
        <w:sz w:val="22"/>
        <w:szCs w:val="22"/>
      </w:rPr>
      <w:instrText xml:space="preserve">PAGE  </w:instrText>
    </w:r>
    <w:r w:rsidRPr="00874F77">
      <w:rPr>
        <w:rStyle w:val="PageNumber"/>
        <w:sz w:val="22"/>
        <w:szCs w:val="22"/>
      </w:rPr>
      <w:fldChar w:fldCharType="separate"/>
    </w:r>
    <w:r w:rsidR="009A3B0A">
      <w:rPr>
        <w:rStyle w:val="PageNumber"/>
        <w:noProof/>
        <w:sz w:val="22"/>
        <w:szCs w:val="22"/>
      </w:rPr>
      <w:t>6</w:t>
    </w:r>
    <w:r w:rsidRPr="00874F77">
      <w:rPr>
        <w:rStyle w:val="PageNumber"/>
        <w:sz w:val="22"/>
        <w:szCs w:val="22"/>
      </w:rPr>
      <w:fldChar w:fldCharType="end"/>
    </w:r>
  </w:p>
  <w:p w:rsidR="001430AC" w:rsidRDefault="001430AC" w:rsidP="00C46C22">
    <w:pPr>
      <w:pStyle w:val="Footer"/>
      <w:ind w:right="360"/>
      <w:jc w:val="right"/>
      <w:rPr>
        <w:b/>
        <w:bCs/>
        <w:i/>
        <w:iCs/>
        <w:sz w:val="20"/>
        <w:lang w:val="bg-BG"/>
      </w:rPr>
    </w:pPr>
  </w:p>
  <w:p w:rsidR="001430AC" w:rsidRDefault="001430AC" w:rsidP="0082243E">
    <w:pPr>
      <w:pStyle w:val="Footer"/>
      <w:ind w:right="360"/>
      <w:jc w:val="right"/>
      <w:rPr>
        <w:b/>
        <w:bCs/>
        <w:i/>
        <w:iCs/>
        <w:sz w:val="20"/>
        <w:lang w:val="bg-BG"/>
      </w:rPr>
    </w:pPr>
  </w:p>
  <w:p w:rsidR="001430AC" w:rsidRPr="00BE3E78" w:rsidRDefault="001430AC" w:rsidP="0082243E">
    <w:pPr>
      <w:pStyle w:val="Footer"/>
      <w:ind w:right="360"/>
      <w:rPr>
        <w:b/>
        <w:bCs/>
        <w:i/>
        <w:iCs/>
        <w:sz w:val="20"/>
        <w:lang w:val="bg-BG"/>
      </w:rPr>
    </w:pPr>
    <w:r>
      <w:rPr>
        <w:b/>
        <w:bCs/>
        <w:i/>
        <w:iCs/>
        <w:sz w:val="20"/>
      </w:rPr>
      <w:t>Consolidated financial statement</w:t>
    </w:r>
    <w:r w:rsidRPr="006C06CD">
      <w:rPr>
        <w:b/>
        <w:bCs/>
        <w:i/>
        <w:iCs/>
        <w:sz w:val="20"/>
        <w:lang w:val="bg-BG"/>
      </w:rPr>
      <w:t xml:space="preserve"> </w:t>
    </w:r>
    <w:r>
      <w:rPr>
        <w:b/>
        <w:bCs/>
        <w:i/>
        <w:iCs/>
        <w:sz w:val="20"/>
        <w:lang w:val="bg-BG"/>
      </w:rPr>
      <w:t xml:space="preserve">30 </w:t>
    </w:r>
    <w:r>
      <w:rPr>
        <w:b/>
        <w:bCs/>
        <w:i/>
        <w:iCs/>
        <w:sz w:val="20"/>
      </w:rPr>
      <w:t>June</w:t>
    </w:r>
    <w:r w:rsidRPr="006C06CD">
      <w:rPr>
        <w:b/>
        <w:bCs/>
        <w:i/>
        <w:iCs/>
        <w:sz w:val="20"/>
        <w:lang w:val="bg-BG"/>
      </w:rPr>
      <w:t xml:space="preserve"> 201</w:t>
    </w:r>
    <w:r>
      <w:rPr>
        <w:b/>
        <w:bCs/>
        <w:i/>
        <w:iCs/>
        <w:sz w:val="20"/>
        <w:lang w:val="bg-BG"/>
      </w:rPr>
      <w:t>5</w:t>
    </w:r>
  </w:p>
  <w:p w:rsidR="001430AC" w:rsidRPr="0030257D" w:rsidRDefault="001430AC" w:rsidP="00C46C22">
    <w:pPr>
      <w:pStyle w:val="Footer"/>
      <w:ind w:right="360"/>
      <w:rPr>
        <w:lang w:val="ru-RU"/>
      </w:rPr>
    </w:pPr>
  </w:p>
  <w:p w:rsidR="001430AC" w:rsidRDefault="001430A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874F77" w:rsidRDefault="001430AC" w:rsidP="00C46C22">
    <w:pPr>
      <w:pStyle w:val="Footer"/>
      <w:framePr w:wrap="around" w:vAnchor="text" w:hAnchor="margin" w:xAlign="right" w:y="1"/>
      <w:rPr>
        <w:rStyle w:val="PageNumber"/>
        <w:sz w:val="22"/>
        <w:szCs w:val="22"/>
      </w:rPr>
    </w:pPr>
    <w:r w:rsidRPr="00874F77">
      <w:rPr>
        <w:rStyle w:val="PageNumber"/>
        <w:sz w:val="22"/>
        <w:szCs w:val="22"/>
      </w:rPr>
      <w:fldChar w:fldCharType="begin"/>
    </w:r>
    <w:r w:rsidRPr="00874F77">
      <w:rPr>
        <w:rStyle w:val="PageNumber"/>
        <w:sz w:val="22"/>
        <w:szCs w:val="22"/>
      </w:rPr>
      <w:instrText xml:space="preserve">PAGE  </w:instrText>
    </w:r>
    <w:r w:rsidRPr="00874F77">
      <w:rPr>
        <w:rStyle w:val="PageNumber"/>
        <w:sz w:val="22"/>
        <w:szCs w:val="22"/>
      </w:rPr>
      <w:fldChar w:fldCharType="separate"/>
    </w:r>
    <w:r w:rsidR="009A3B0A">
      <w:rPr>
        <w:rStyle w:val="PageNumber"/>
        <w:noProof/>
        <w:sz w:val="22"/>
        <w:szCs w:val="22"/>
      </w:rPr>
      <w:t>37</w:t>
    </w:r>
    <w:r w:rsidRPr="00874F77">
      <w:rPr>
        <w:rStyle w:val="PageNumber"/>
        <w:sz w:val="22"/>
        <w:szCs w:val="22"/>
      </w:rPr>
      <w:fldChar w:fldCharType="end"/>
    </w:r>
  </w:p>
  <w:p w:rsidR="001430AC" w:rsidRDefault="001430AC" w:rsidP="00C46C22">
    <w:pPr>
      <w:pStyle w:val="Footer"/>
      <w:ind w:right="360"/>
      <w:jc w:val="right"/>
      <w:rPr>
        <w:b/>
        <w:bCs/>
        <w:i/>
        <w:iCs/>
        <w:sz w:val="20"/>
        <w:lang w:val="bg-BG"/>
      </w:rPr>
    </w:pPr>
  </w:p>
  <w:p w:rsidR="001430AC" w:rsidRDefault="001430AC" w:rsidP="0082243E">
    <w:pPr>
      <w:pStyle w:val="Footer"/>
      <w:ind w:right="360"/>
      <w:jc w:val="right"/>
      <w:rPr>
        <w:b/>
        <w:bCs/>
        <w:i/>
        <w:iCs/>
        <w:sz w:val="20"/>
        <w:lang w:val="bg-BG"/>
      </w:rPr>
    </w:pPr>
  </w:p>
  <w:p w:rsidR="001430AC" w:rsidRPr="00BE3E78" w:rsidRDefault="001430AC" w:rsidP="0082243E">
    <w:pPr>
      <w:pStyle w:val="Footer"/>
      <w:ind w:right="360"/>
      <w:rPr>
        <w:b/>
        <w:bCs/>
        <w:i/>
        <w:iCs/>
        <w:sz w:val="20"/>
        <w:lang w:val="bg-BG"/>
      </w:rPr>
    </w:pPr>
    <w:r>
      <w:rPr>
        <w:b/>
        <w:bCs/>
        <w:i/>
        <w:iCs/>
        <w:sz w:val="20"/>
      </w:rPr>
      <w:t>Consolidated financial statement</w:t>
    </w:r>
    <w:r w:rsidRPr="006C06CD">
      <w:rPr>
        <w:b/>
        <w:bCs/>
        <w:i/>
        <w:iCs/>
        <w:sz w:val="20"/>
        <w:lang w:val="bg-BG"/>
      </w:rPr>
      <w:t xml:space="preserve"> </w:t>
    </w:r>
    <w:r>
      <w:rPr>
        <w:b/>
        <w:bCs/>
        <w:i/>
        <w:iCs/>
        <w:sz w:val="20"/>
        <w:lang w:val="bg-BG"/>
      </w:rPr>
      <w:t xml:space="preserve">30 </w:t>
    </w:r>
    <w:r>
      <w:rPr>
        <w:b/>
        <w:bCs/>
        <w:i/>
        <w:iCs/>
        <w:sz w:val="20"/>
      </w:rPr>
      <w:t>June</w:t>
    </w:r>
    <w:r w:rsidRPr="006C06CD">
      <w:rPr>
        <w:b/>
        <w:bCs/>
        <w:i/>
        <w:iCs/>
        <w:sz w:val="20"/>
        <w:lang w:val="bg-BG"/>
      </w:rPr>
      <w:t xml:space="preserve"> 201</w:t>
    </w:r>
    <w:r>
      <w:rPr>
        <w:b/>
        <w:bCs/>
        <w:i/>
        <w:iCs/>
        <w:sz w:val="20"/>
        <w:lang w:val="bg-BG"/>
      </w:rPr>
      <w:t>5</w:t>
    </w:r>
  </w:p>
  <w:p w:rsidR="001430AC" w:rsidRPr="00BE3E78" w:rsidRDefault="001430AC" w:rsidP="00C46C22">
    <w:pPr>
      <w:pStyle w:val="Footer"/>
      <w:ind w:right="360"/>
      <w:rPr>
        <w:b/>
        <w:bCs/>
        <w:i/>
        <w:iCs/>
        <w:sz w:val="20"/>
        <w:lang w:val="bg-BG"/>
      </w:rPr>
    </w:pPr>
  </w:p>
  <w:p w:rsidR="001430AC" w:rsidRPr="0030257D" w:rsidRDefault="001430AC" w:rsidP="00C46C22">
    <w:pPr>
      <w:pStyle w:val="Footer"/>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67A" w:rsidRDefault="007E067A">
      <w:r>
        <w:separator/>
      </w:r>
    </w:p>
  </w:footnote>
  <w:footnote w:type="continuationSeparator" w:id="0">
    <w:p w:rsidR="007E067A" w:rsidRDefault="007E0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582CC9" w:rsidRDefault="001430AC" w:rsidP="00582CC9">
    <w:pPr>
      <w:pBdr>
        <w:bottom w:val="single" w:sz="4" w:space="1" w:color="auto"/>
      </w:pBdr>
      <w:tabs>
        <w:tab w:val="center" w:pos="4703"/>
        <w:tab w:val="right" w:pos="9406"/>
      </w:tabs>
      <w:jc w:val="both"/>
      <w:rPr>
        <w:b/>
        <w:sz w:val="22"/>
        <w:szCs w:val="22"/>
      </w:rPr>
    </w:pPr>
    <w:r w:rsidRPr="00582CC9">
      <w:rPr>
        <w:b/>
        <w:sz w:val="22"/>
        <w:szCs w:val="22"/>
      </w:rPr>
      <w:t>SPEEDY AD</w:t>
    </w:r>
  </w:p>
  <w:p w:rsidR="001430AC" w:rsidRPr="008803CF" w:rsidRDefault="001430AC" w:rsidP="00582CC9">
    <w:pPr>
      <w:pStyle w:val="Header"/>
      <w:jc w:val="both"/>
      <w:rPr>
        <w:b/>
        <w:sz w:val="22"/>
        <w:szCs w:val="22"/>
        <w:u w:val="single"/>
        <w:lang w:val="bg-BG"/>
      </w:rPr>
    </w:pPr>
    <w:r w:rsidRPr="00582CC9">
      <w:rPr>
        <w:b/>
      </w:rPr>
      <w:t>EXPLANATORY NOTES TO THE CONSOLIDATED FINANCIAL STATEMENT</w:t>
    </w:r>
  </w:p>
  <w:p w:rsidR="001430AC" w:rsidRDefault="001430A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1B28A7" w:rsidRDefault="001430AC" w:rsidP="00C46C22">
    <w:pPr>
      <w:pStyle w:val="Header"/>
      <w:pBdr>
        <w:bottom w:val="single" w:sz="4" w:space="1" w:color="auto"/>
      </w:pBdr>
      <w:jc w:val="both"/>
      <w:rPr>
        <w:b/>
        <w:sz w:val="22"/>
        <w:szCs w:val="22"/>
      </w:rPr>
    </w:pPr>
    <w:r>
      <w:rPr>
        <w:b/>
        <w:sz w:val="22"/>
        <w:szCs w:val="22"/>
        <w:lang w:val="bg-BG"/>
      </w:rPr>
      <w:t>СПИДИ А</w:t>
    </w:r>
    <w:r w:rsidRPr="001B28A7">
      <w:rPr>
        <w:b/>
        <w:sz w:val="22"/>
        <w:szCs w:val="22"/>
        <w:lang w:val="bg-BG"/>
      </w:rPr>
      <w:t>Д</w:t>
    </w:r>
  </w:p>
  <w:p w:rsidR="001430AC" w:rsidRPr="008803CF" w:rsidRDefault="001430AC" w:rsidP="00C46C22">
    <w:pPr>
      <w:jc w:val="both"/>
      <w:rPr>
        <w:rStyle w:val="dheaderChar"/>
        <w:rFonts w:ascii="Times New Roman" w:hAnsi="Times New Roman"/>
        <w:b/>
        <w:color w:val="auto"/>
        <w:highlight w:val="yellow"/>
        <w:lang w:val="bg-BG"/>
      </w:rPr>
    </w:pPr>
    <w:r w:rsidRPr="008803CF">
      <w:rPr>
        <w:rStyle w:val="dheaderChar"/>
        <w:rFonts w:ascii="Times New Roman" w:hAnsi="Times New Roman"/>
        <w:b/>
        <w:color w:val="auto"/>
        <w:highlight w:val="yellow"/>
        <w:lang w:val="bg-BG"/>
      </w:rPr>
      <w:t xml:space="preserve">ПОЯСНИТЕЛНИ БЕЛЕЖКИ КЪМ </w:t>
    </w:r>
    <w:r>
      <w:rPr>
        <w:b/>
        <w:caps/>
        <w:sz w:val="22"/>
        <w:szCs w:val="22"/>
        <w:highlight w:val="yellow"/>
        <w:lang w:val="bg-BG"/>
      </w:rPr>
      <w:t>неконсолидиранИЯ</w:t>
    </w:r>
    <w:r w:rsidRPr="008803CF">
      <w:rPr>
        <w:caps/>
        <w:sz w:val="22"/>
        <w:szCs w:val="22"/>
        <w:highlight w:val="yellow"/>
        <w:lang w:val="bg-BG"/>
      </w:rPr>
      <w:t xml:space="preserve"> </w:t>
    </w:r>
    <w:r>
      <w:rPr>
        <w:rStyle w:val="dheaderChar"/>
        <w:rFonts w:ascii="Times New Roman" w:hAnsi="Times New Roman"/>
        <w:b/>
        <w:color w:val="auto"/>
        <w:highlight w:val="yellow"/>
        <w:lang w:val="bg-BG"/>
      </w:rPr>
      <w:t>ФИНАНСОВ ОТЧЕТ</w:t>
    </w:r>
  </w:p>
  <w:p w:rsidR="001430AC" w:rsidRPr="00054C29" w:rsidRDefault="001430AC" w:rsidP="00C46C22">
    <w:pPr>
      <w:jc w:val="both"/>
      <w:rPr>
        <w:caps/>
        <w:sz w:val="22"/>
        <w:szCs w:val="22"/>
        <w:lang w:val="bg-BG"/>
      </w:rPr>
    </w:pPr>
    <w:r w:rsidRPr="008803CF">
      <w:rPr>
        <w:rStyle w:val="dheaderChar"/>
        <w:rFonts w:ascii="Times New Roman" w:hAnsi="Times New Roman"/>
        <w:color w:val="auto"/>
        <w:highlight w:val="yellow"/>
        <w:lang w:val="bg-BG"/>
      </w:rPr>
      <w:t>за годината, приключваща на 31.12.201</w:t>
    </w:r>
    <w:r>
      <w:rPr>
        <w:rStyle w:val="dheaderChar"/>
        <w:rFonts w:ascii="Times New Roman" w:hAnsi="Times New Roman"/>
        <w:color w:val="auto"/>
        <w:highlight w:val="yellow"/>
        <w:lang w:val="bg-BG"/>
      </w:rPr>
      <w:t>4</w:t>
    </w:r>
    <w:r w:rsidRPr="008803CF">
      <w:rPr>
        <w:rStyle w:val="dheaderChar"/>
        <w:rFonts w:ascii="Times New Roman" w:hAnsi="Times New Roman"/>
        <w:color w:val="auto"/>
        <w:highlight w:val="yellow"/>
        <w:lang w:val="bg-BG"/>
      </w:rPr>
      <w:t xml:space="preserve"> г.</w:t>
    </w:r>
  </w:p>
  <w:p w:rsidR="001430AC" w:rsidRPr="00C53427" w:rsidRDefault="001430AC" w:rsidP="00C46C22">
    <w:pPr>
      <w:pStyle w:val="Header"/>
      <w:rPr>
        <w:b/>
        <w:sz w:val="22"/>
        <w:szCs w:val="22"/>
        <w:u w:val="single"/>
        <w:lang w:val="bg-BG"/>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582CC9" w:rsidRDefault="001430AC" w:rsidP="00FB5145">
    <w:pPr>
      <w:pBdr>
        <w:bottom w:val="single" w:sz="4" w:space="1" w:color="auto"/>
      </w:pBdr>
      <w:tabs>
        <w:tab w:val="center" w:pos="4703"/>
        <w:tab w:val="right" w:pos="9406"/>
      </w:tabs>
      <w:jc w:val="both"/>
      <w:rPr>
        <w:b/>
        <w:sz w:val="22"/>
        <w:szCs w:val="22"/>
      </w:rPr>
    </w:pPr>
    <w:r w:rsidRPr="00582CC9">
      <w:rPr>
        <w:b/>
        <w:sz w:val="22"/>
        <w:szCs w:val="22"/>
      </w:rPr>
      <w:t>SPEEDY AD</w:t>
    </w:r>
  </w:p>
  <w:p w:rsidR="001430AC" w:rsidRPr="008803CF" w:rsidRDefault="001430AC" w:rsidP="00FB5145">
    <w:pPr>
      <w:pStyle w:val="Header"/>
      <w:jc w:val="both"/>
      <w:rPr>
        <w:b/>
        <w:sz w:val="22"/>
        <w:szCs w:val="22"/>
        <w:u w:val="single"/>
        <w:lang w:val="bg-BG"/>
      </w:rPr>
    </w:pPr>
    <w:r w:rsidRPr="00582CC9">
      <w:rPr>
        <w:b/>
      </w:rPr>
      <w:t>EXPLANATORY NOTES TO THE CONSOLIDATED FINANCIAL STATEMENT</w:t>
    </w:r>
  </w:p>
  <w:p w:rsidR="001430AC" w:rsidRPr="00C53427" w:rsidRDefault="001430AC" w:rsidP="00C46C22">
    <w:pPr>
      <w:pStyle w:val="Header"/>
      <w:rPr>
        <w:b/>
        <w:sz w:val="22"/>
        <w:szCs w:val="22"/>
        <w:u w:val="single"/>
        <w:lang w:val="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D92459" w:rsidRDefault="001430AC" w:rsidP="00C46C22">
    <w:pPr>
      <w:pStyle w:val="Header"/>
      <w:pBdr>
        <w:bottom w:val="single" w:sz="4" w:space="1" w:color="auto"/>
      </w:pBdr>
      <w:jc w:val="both"/>
      <w:rPr>
        <w:b/>
        <w:sz w:val="22"/>
        <w:szCs w:val="22"/>
      </w:rPr>
    </w:pPr>
    <w:r>
      <w:rPr>
        <w:b/>
        <w:sz w:val="22"/>
        <w:szCs w:val="22"/>
      </w:rPr>
      <w:t>SPEEDY JSC</w:t>
    </w:r>
  </w:p>
  <w:p w:rsidR="001430AC" w:rsidRPr="00D92459" w:rsidRDefault="001430AC" w:rsidP="00C46C22">
    <w:pPr>
      <w:jc w:val="both"/>
      <w:rPr>
        <w:b/>
        <w:sz w:val="22"/>
        <w:szCs w:val="22"/>
      </w:rPr>
    </w:pPr>
    <w:r>
      <w:rPr>
        <w:b/>
        <w:caps/>
        <w:sz w:val="22"/>
        <w:szCs w:val="22"/>
      </w:rPr>
      <w:t>CONSOLIDATED STATEMENT OF FINANCIAL POSITION</w:t>
    </w:r>
  </w:p>
  <w:p w:rsidR="001430AC" w:rsidRPr="008803CF" w:rsidRDefault="001430AC" w:rsidP="00C46C22">
    <w:pPr>
      <w:pStyle w:val="Header"/>
      <w:jc w:val="both"/>
      <w:rPr>
        <w:b/>
        <w:sz w:val="22"/>
        <w:szCs w:val="22"/>
        <w:u w:val="single"/>
        <w:lang w:val="bg-BG"/>
      </w:rPr>
    </w:pPr>
    <w:r>
      <w:rPr>
        <w:sz w:val="22"/>
        <w:szCs w:val="22"/>
        <w:lang w:val="bg-BG"/>
      </w:rPr>
      <w:t xml:space="preserve">30 </w:t>
    </w:r>
    <w:r>
      <w:rPr>
        <w:sz w:val="22"/>
        <w:szCs w:val="22"/>
      </w:rPr>
      <w:t xml:space="preserve">June </w:t>
    </w:r>
    <w:r w:rsidRPr="006428CD">
      <w:rPr>
        <w:sz w:val="22"/>
        <w:szCs w:val="22"/>
        <w:lang w:val="bg-BG"/>
      </w:rPr>
      <w:t>201</w:t>
    </w:r>
    <w:r>
      <w:rPr>
        <w:sz w:val="22"/>
        <w:szCs w:val="22"/>
        <w:lang w:val="bg-BG"/>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AD5F50" w:rsidRDefault="001430AC" w:rsidP="00C46C22">
    <w:pPr>
      <w:pStyle w:val="Header"/>
      <w:pBdr>
        <w:bottom w:val="single" w:sz="4" w:space="1" w:color="auto"/>
      </w:pBdr>
      <w:jc w:val="both"/>
      <w:rPr>
        <w:b/>
        <w:sz w:val="22"/>
        <w:szCs w:val="22"/>
      </w:rPr>
    </w:pPr>
    <w:r>
      <w:rPr>
        <w:b/>
        <w:sz w:val="22"/>
        <w:szCs w:val="22"/>
      </w:rPr>
      <w:t>SPEEDY AD</w:t>
    </w:r>
  </w:p>
  <w:p w:rsidR="001430AC" w:rsidRPr="00AD5F50" w:rsidRDefault="001430AC" w:rsidP="00C46C22">
    <w:pPr>
      <w:jc w:val="both"/>
      <w:rPr>
        <w:b/>
        <w:sz w:val="22"/>
        <w:szCs w:val="22"/>
      </w:rPr>
    </w:pPr>
    <w:r>
      <w:rPr>
        <w:b/>
        <w:caps/>
        <w:sz w:val="22"/>
        <w:szCs w:val="22"/>
      </w:rPr>
      <w:t>CONSOLIDATED STATEMENT OF FINANCIAL POSITION</w:t>
    </w:r>
  </w:p>
  <w:p w:rsidR="001430AC" w:rsidRPr="008803CF" w:rsidRDefault="001430AC" w:rsidP="00C46C22">
    <w:pPr>
      <w:pStyle w:val="Header"/>
      <w:jc w:val="both"/>
      <w:rPr>
        <w:b/>
        <w:sz w:val="22"/>
        <w:szCs w:val="22"/>
        <w:u w:val="single"/>
        <w:lang w:val="bg-BG"/>
      </w:rPr>
    </w:pPr>
    <w:r w:rsidRPr="0082243E">
      <w:rPr>
        <w:sz w:val="22"/>
        <w:szCs w:val="22"/>
      </w:rPr>
      <w:t>30 June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1B28A7" w:rsidRDefault="001430AC" w:rsidP="00C46C22">
    <w:pPr>
      <w:pStyle w:val="Header"/>
      <w:pBdr>
        <w:bottom w:val="single" w:sz="4" w:space="1" w:color="auto"/>
      </w:pBdr>
      <w:jc w:val="both"/>
      <w:rPr>
        <w:b/>
        <w:sz w:val="22"/>
        <w:szCs w:val="22"/>
      </w:rPr>
    </w:pPr>
    <w:r>
      <w:rPr>
        <w:b/>
        <w:sz w:val="22"/>
        <w:szCs w:val="22"/>
        <w:lang w:val="bg-BG"/>
      </w:rPr>
      <w:t>СПИДИ А</w:t>
    </w:r>
    <w:r w:rsidRPr="001B28A7">
      <w:rPr>
        <w:b/>
        <w:sz w:val="22"/>
        <w:szCs w:val="22"/>
        <w:lang w:val="bg-BG"/>
      </w:rPr>
      <w:t>Д</w:t>
    </w:r>
  </w:p>
  <w:p w:rsidR="001430AC" w:rsidRDefault="001430AC" w:rsidP="00C46C22">
    <w:pPr>
      <w:pStyle w:val="Header"/>
      <w:jc w:val="both"/>
      <w:rPr>
        <w:b/>
        <w:sz w:val="22"/>
        <w:szCs w:val="22"/>
        <w:u w:val="single"/>
        <w:lang w:val="bg-BG"/>
      </w:rPr>
    </w:pPr>
  </w:p>
  <w:p w:rsidR="001430AC" w:rsidRPr="008803CF" w:rsidRDefault="001430AC" w:rsidP="00C46C22">
    <w:pPr>
      <w:jc w:val="both"/>
      <w:rPr>
        <w:b/>
        <w:sz w:val="22"/>
        <w:szCs w:val="22"/>
        <w:highlight w:val="yellow"/>
        <w:lang w:val="ru-RU"/>
      </w:rPr>
    </w:pPr>
    <w:r w:rsidRPr="008803CF">
      <w:rPr>
        <w:b/>
        <w:caps/>
        <w:sz w:val="22"/>
        <w:szCs w:val="22"/>
        <w:highlight w:val="yellow"/>
        <w:lang w:val="bg-BG"/>
      </w:rPr>
      <w:t xml:space="preserve">неконсолидиран отчет за </w:t>
    </w:r>
    <w:r w:rsidRPr="008803CF">
      <w:rPr>
        <w:b/>
        <w:bCs/>
        <w:caps/>
        <w:sz w:val="22"/>
        <w:szCs w:val="22"/>
        <w:highlight w:val="yellow"/>
        <w:lang w:val="bg-BG"/>
      </w:rPr>
      <w:t>ВСЕОБХВАТНИЯ ДОХОД</w:t>
    </w:r>
    <w:r w:rsidRPr="008803CF">
      <w:rPr>
        <w:b/>
        <w:sz w:val="22"/>
        <w:szCs w:val="22"/>
        <w:highlight w:val="yellow"/>
        <w:lang w:val="ru-RU"/>
      </w:rPr>
      <w:t xml:space="preserve"> </w:t>
    </w:r>
  </w:p>
  <w:p w:rsidR="001430AC" w:rsidRPr="008803CF" w:rsidRDefault="001430AC" w:rsidP="00C46C22">
    <w:pPr>
      <w:pStyle w:val="Header"/>
      <w:jc w:val="both"/>
      <w:rPr>
        <w:b/>
        <w:sz w:val="22"/>
        <w:szCs w:val="22"/>
        <w:u w:val="single"/>
        <w:lang w:val="bg-BG"/>
      </w:rPr>
    </w:pPr>
    <w:r w:rsidRPr="008803CF">
      <w:rPr>
        <w:sz w:val="22"/>
        <w:szCs w:val="22"/>
        <w:highlight w:val="yellow"/>
        <w:lang w:val="bg-BG"/>
      </w:rPr>
      <w:t>за годината, приключваща на 31 декември 2014 г</w:t>
    </w:r>
    <w:r w:rsidRPr="008803CF">
      <w:rPr>
        <w:b/>
        <w:sz w:val="22"/>
        <w:szCs w:val="22"/>
        <w:highlight w:val="yellow"/>
        <w:lang w:val="bg-BG"/>
      </w:rPr>
      <w:t>.</w:t>
    </w:r>
  </w:p>
  <w:p w:rsidR="001430AC" w:rsidRPr="00ED0F86" w:rsidRDefault="001430AC" w:rsidP="00C46C22">
    <w:pPr>
      <w:pStyle w:val="Header"/>
      <w:rPr>
        <w:b/>
        <w:sz w:val="22"/>
        <w:szCs w:val="22"/>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AD5F50" w:rsidRDefault="001430AC" w:rsidP="00C46C22">
    <w:pPr>
      <w:pStyle w:val="Header"/>
      <w:pBdr>
        <w:bottom w:val="single" w:sz="4" w:space="1" w:color="auto"/>
      </w:pBdr>
      <w:jc w:val="both"/>
      <w:rPr>
        <w:b/>
        <w:sz w:val="22"/>
        <w:szCs w:val="22"/>
      </w:rPr>
    </w:pPr>
    <w:r>
      <w:rPr>
        <w:b/>
        <w:sz w:val="22"/>
        <w:szCs w:val="22"/>
      </w:rPr>
      <w:t>SPEEDY AD</w:t>
    </w:r>
  </w:p>
  <w:p w:rsidR="001430AC" w:rsidRPr="00AD5F50" w:rsidRDefault="001430AC" w:rsidP="0082243E">
    <w:pPr>
      <w:jc w:val="both"/>
      <w:rPr>
        <w:b/>
        <w:sz w:val="22"/>
        <w:szCs w:val="22"/>
      </w:rPr>
    </w:pPr>
    <w:r>
      <w:rPr>
        <w:b/>
        <w:caps/>
        <w:sz w:val="22"/>
        <w:szCs w:val="22"/>
      </w:rPr>
      <w:t>CONSOLIDATED STATEMENT OF comprehensive income</w:t>
    </w:r>
  </w:p>
  <w:p w:rsidR="001430AC" w:rsidRPr="008803CF" w:rsidRDefault="001430AC" w:rsidP="00C46C22">
    <w:pPr>
      <w:pStyle w:val="Header"/>
      <w:jc w:val="both"/>
      <w:rPr>
        <w:b/>
        <w:sz w:val="22"/>
        <w:szCs w:val="22"/>
        <w:u w:val="single"/>
        <w:lang w:val="bg-BG"/>
      </w:rPr>
    </w:pPr>
    <w:r w:rsidRPr="0082243E">
      <w:rPr>
        <w:sz w:val="22"/>
        <w:szCs w:val="22"/>
      </w:rPr>
      <w:t>30 June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1B28A7" w:rsidRDefault="001430AC" w:rsidP="00C46C22">
    <w:pPr>
      <w:pStyle w:val="Header"/>
      <w:pBdr>
        <w:bottom w:val="single" w:sz="4" w:space="1" w:color="auto"/>
      </w:pBdr>
      <w:jc w:val="both"/>
      <w:rPr>
        <w:b/>
        <w:sz w:val="22"/>
        <w:szCs w:val="22"/>
      </w:rPr>
    </w:pPr>
    <w:r>
      <w:rPr>
        <w:b/>
        <w:sz w:val="22"/>
        <w:szCs w:val="22"/>
        <w:lang w:val="bg-BG"/>
      </w:rPr>
      <w:t>СПИДИ А</w:t>
    </w:r>
    <w:r w:rsidRPr="001B28A7">
      <w:rPr>
        <w:b/>
        <w:sz w:val="22"/>
        <w:szCs w:val="22"/>
        <w:lang w:val="bg-BG"/>
      </w:rPr>
      <w:t>Д</w:t>
    </w:r>
  </w:p>
  <w:p w:rsidR="001430AC" w:rsidRDefault="001430AC" w:rsidP="00C46C22">
    <w:pPr>
      <w:pStyle w:val="Header"/>
      <w:jc w:val="both"/>
      <w:rPr>
        <w:b/>
        <w:sz w:val="22"/>
        <w:szCs w:val="22"/>
        <w:u w:val="single"/>
        <w:lang w:val="bg-BG"/>
      </w:rPr>
    </w:pPr>
  </w:p>
  <w:p w:rsidR="001430AC" w:rsidRPr="008803CF" w:rsidRDefault="001430AC" w:rsidP="00C46C22">
    <w:pPr>
      <w:jc w:val="both"/>
      <w:rPr>
        <w:b/>
        <w:sz w:val="22"/>
        <w:szCs w:val="22"/>
        <w:highlight w:val="yellow"/>
        <w:lang w:val="ru-RU"/>
      </w:rPr>
    </w:pPr>
    <w:r w:rsidRPr="008803CF">
      <w:rPr>
        <w:b/>
        <w:caps/>
        <w:sz w:val="22"/>
        <w:szCs w:val="22"/>
        <w:highlight w:val="yellow"/>
        <w:lang w:val="bg-BG"/>
      </w:rPr>
      <w:t xml:space="preserve">неконсолидиран отчет за </w:t>
    </w:r>
    <w:r w:rsidRPr="008803CF">
      <w:rPr>
        <w:b/>
        <w:bCs/>
        <w:caps/>
        <w:sz w:val="22"/>
        <w:szCs w:val="22"/>
        <w:highlight w:val="yellow"/>
        <w:lang w:val="bg-BG"/>
      </w:rPr>
      <w:t>ВСЕОБХВАТНИЯ ДОХОД</w:t>
    </w:r>
    <w:r w:rsidRPr="008803CF">
      <w:rPr>
        <w:b/>
        <w:sz w:val="22"/>
        <w:szCs w:val="22"/>
        <w:highlight w:val="yellow"/>
        <w:lang w:val="ru-RU"/>
      </w:rPr>
      <w:t xml:space="preserve"> </w:t>
    </w:r>
  </w:p>
  <w:p w:rsidR="001430AC" w:rsidRPr="008803CF" w:rsidRDefault="001430AC" w:rsidP="00C46C22">
    <w:pPr>
      <w:pStyle w:val="Header"/>
      <w:jc w:val="both"/>
      <w:rPr>
        <w:b/>
        <w:sz w:val="22"/>
        <w:szCs w:val="22"/>
        <w:u w:val="single"/>
        <w:lang w:val="bg-BG"/>
      </w:rPr>
    </w:pPr>
    <w:r w:rsidRPr="008803CF">
      <w:rPr>
        <w:sz w:val="22"/>
        <w:szCs w:val="22"/>
        <w:highlight w:val="yellow"/>
        <w:lang w:val="bg-BG"/>
      </w:rPr>
      <w:t>за годината, приключваща на 31 декември 2014 г</w:t>
    </w:r>
    <w:r w:rsidRPr="008803CF">
      <w:rPr>
        <w:b/>
        <w:sz w:val="22"/>
        <w:szCs w:val="22"/>
        <w:highlight w:val="yellow"/>
        <w:lang w:val="bg-BG"/>
      </w:rPr>
      <w:t>.</w:t>
    </w:r>
  </w:p>
  <w:p w:rsidR="001430AC" w:rsidRPr="00ED0F86" w:rsidRDefault="001430AC" w:rsidP="00C46C22">
    <w:pPr>
      <w:pStyle w:val="Header"/>
      <w:rPr>
        <w:b/>
        <w:sz w:val="22"/>
        <w:szCs w:val="22"/>
        <w:lang w:val="ru-RU"/>
      </w:rPr>
    </w:pPr>
  </w:p>
  <w:p w:rsidR="001430AC" w:rsidRDefault="001430A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AD5F50" w:rsidRDefault="001430AC" w:rsidP="00C46C22">
    <w:pPr>
      <w:pStyle w:val="Header"/>
      <w:pBdr>
        <w:bottom w:val="single" w:sz="4" w:space="1" w:color="auto"/>
      </w:pBdr>
      <w:jc w:val="both"/>
      <w:rPr>
        <w:b/>
        <w:sz w:val="22"/>
        <w:szCs w:val="22"/>
      </w:rPr>
    </w:pPr>
    <w:r>
      <w:rPr>
        <w:b/>
        <w:sz w:val="22"/>
        <w:szCs w:val="22"/>
      </w:rPr>
      <w:t>SPEEDY AD</w:t>
    </w:r>
  </w:p>
  <w:p w:rsidR="001430AC" w:rsidRPr="00AD5F50" w:rsidRDefault="001430AC" w:rsidP="00C46C22">
    <w:pPr>
      <w:jc w:val="both"/>
      <w:rPr>
        <w:b/>
        <w:sz w:val="22"/>
        <w:szCs w:val="22"/>
      </w:rPr>
    </w:pPr>
    <w:r>
      <w:rPr>
        <w:b/>
        <w:caps/>
        <w:sz w:val="22"/>
        <w:szCs w:val="22"/>
      </w:rPr>
      <w:t>CONSOLIDATED CASH FLOW STATEMENT</w:t>
    </w:r>
  </w:p>
  <w:p w:rsidR="001430AC" w:rsidRDefault="001430AC" w:rsidP="00C46C22">
    <w:pPr>
      <w:pStyle w:val="Header"/>
      <w:jc w:val="both"/>
      <w:rPr>
        <w:b/>
        <w:sz w:val="22"/>
        <w:szCs w:val="22"/>
        <w:lang w:val="bg-BG"/>
      </w:rPr>
    </w:pPr>
    <w:r w:rsidRPr="006428CD">
      <w:rPr>
        <w:sz w:val="22"/>
        <w:szCs w:val="22"/>
        <w:lang w:val="bg-BG"/>
      </w:rPr>
      <w:t>3</w:t>
    </w:r>
    <w:r>
      <w:rPr>
        <w:sz w:val="22"/>
        <w:szCs w:val="22"/>
      </w:rPr>
      <w:t>0</w:t>
    </w:r>
    <w:r w:rsidRPr="006428CD">
      <w:rPr>
        <w:sz w:val="22"/>
        <w:szCs w:val="22"/>
        <w:lang w:val="bg-BG"/>
      </w:rPr>
      <w:t xml:space="preserve"> </w:t>
    </w:r>
    <w:r>
      <w:rPr>
        <w:sz w:val="22"/>
        <w:szCs w:val="22"/>
      </w:rPr>
      <w:t>June</w:t>
    </w:r>
    <w:r w:rsidRPr="006428CD">
      <w:rPr>
        <w:sz w:val="22"/>
        <w:szCs w:val="22"/>
        <w:lang w:val="bg-BG"/>
      </w:rPr>
      <w:t xml:space="preserve"> 201</w:t>
    </w:r>
    <w:r>
      <w:rPr>
        <w:sz w:val="22"/>
        <w:szCs w:val="22"/>
        <w:lang w:val="bg-BG"/>
      </w:rPr>
      <w:t>5</w:t>
    </w:r>
  </w:p>
  <w:p w:rsidR="001430AC" w:rsidRPr="008803CF" w:rsidRDefault="001430AC" w:rsidP="00C46C22">
    <w:pPr>
      <w:pStyle w:val="Header"/>
      <w:jc w:val="both"/>
      <w:rPr>
        <w:b/>
        <w:sz w:val="22"/>
        <w:szCs w:val="22"/>
        <w:u w:val="single"/>
        <w:lang w:val="bg-BG"/>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ED0F86" w:rsidRDefault="001430AC" w:rsidP="00C46C22">
    <w:pPr>
      <w:pStyle w:val="Header"/>
      <w:rPr>
        <w:b/>
        <w:sz w:val="22"/>
        <w:szCs w:val="22"/>
        <w:lang w:val="ru-RU"/>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0AC" w:rsidRPr="00AD5F50" w:rsidRDefault="001430AC" w:rsidP="00C46C22">
    <w:pPr>
      <w:pStyle w:val="Header"/>
      <w:pBdr>
        <w:bottom w:val="single" w:sz="4" w:space="1" w:color="auto"/>
      </w:pBdr>
      <w:jc w:val="both"/>
      <w:rPr>
        <w:b/>
        <w:sz w:val="22"/>
        <w:szCs w:val="22"/>
      </w:rPr>
    </w:pPr>
    <w:r>
      <w:rPr>
        <w:b/>
        <w:sz w:val="22"/>
        <w:szCs w:val="22"/>
      </w:rPr>
      <w:t>SPEEDY AD</w:t>
    </w:r>
  </w:p>
  <w:p w:rsidR="001430AC" w:rsidRPr="00AD5F50" w:rsidRDefault="001430AC" w:rsidP="00C46C22">
    <w:pPr>
      <w:jc w:val="both"/>
      <w:rPr>
        <w:b/>
        <w:sz w:val="22"/>
        <w:szCs w:val="22"/>
      </w:rPr>
    </w:pPr>
    <w:r>
      <w:rPr>
        <w:b/>
        <w:caps/>
        <w:sz w:val="22"/>
        <w:szCs w:val="22"/>
      </w:rPr>
      <w:t>CONSOLIDATED STATEMENT OF CHANGE IN EQUITY</w:t>
    </w:r>
  </w:p>
  <w:p w:rsidR="001430AC" w:rsidRDefault="001430AC" w:rsidP="00C46C22">
    <w:pPr>
      <w:pStyle w:val="Header"/>
      <w:jc w:val="both"/>
      <w:rPr>
        <w:b/>
        <w:sz w:val="22"/>
        <w:szCs w:val="22"/>
        <w:lang w:val="bg-BG"/>
      </w:rPr>
    </w:pPr>
    <w:r>
      <w:rPr>
        <w:sz w:val="22"/>
        <w:szCs w:val="22"/>
        <w:lang w:val="bg-BG"/>
      </w:rPr>
      <w:t>30</w:t>
    </w:r>
    <w:r w:rsidRPr="006428CD">
      <w:rPr>
        <w:sz w:val="22"/>
        <w:szCs w:val="22"/>
        <w:lang w:val="bg-BG"/>
      </w:rPr>
      <w:t xml:space="preserve"> </w:t>
    </w:r>
    <w:r>
      <w:rPr>
        <w:sz w:val="22"/>
        <w:szCs w:val="22"/>
      </w:rPr>
      <w:t>June</w:t>
    </w:r>
    <w:r w:rsidRPr="006428CD">
      <w:rPr>
        <w:sz w:val="22"/>
        <w:szCs w:val="22"/>
        <w:lang w:val="bg-BG"/>
      </w:rPr>
      <w:t xml:space="preserve"> 201</w:t>
    </w:r>
    <w:r>
      <w:rPr>
        <w:sz w:val="22"/>
        <w:szCs w:val="22"/>
        <w:lang w:val="bg-BG"/>
      </w:rPr>
      <w:t>5</w:t>
    </w:r>
  </w:p>
  <w:p w:rsidR="001430AC" w:rsidRPr="008803CF" w:rsidRDefault="001430AC" w:rsidP="00C46C22">
    <w:pPr>
      <w:pStyle w:val="Header"/>
      <w:jc w:val="both"/>
      <w:rPr>
        <w:b/>
        <w:sz w:val="22"/>
        <w:szCs w:val="22"/>
        <w:u w:val="single"/>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4D6"/>
    <w:multiLevelType w:val="hybridMultilevel"/>
    <w:tmpl w:val="F142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A1282"/>
    <w:multiLevelType w:val="hybridMultilevel"/>
    <w:tmpl w:val="FDF8BF7E"/>
    <w:lvl w:ilvl="0" w:tplc="5516ADAC">
      <w:start w:val="1"/>
      <w:numFmt w:val="bullet"/>
      <w:lvlText w:val="­"/>
      <w:lvlJc w:val="left"/>
      <w:pPr>
        <w:tabs>
          <w:tab w:val="num" w:pos="720"/>
        </w:tabs>
        <w:ind w:left="72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63FAB"/>
    <w:multiLevelType w:val="hybridMultilevel"/>
    <w:tmpl w:val="9AE026C2"/>
    <w:lvl w:ilvl="0" w:tplc="8786A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F6705"/>
    <w:multiLevelType w:val="hybridMultilevel"/>
    <w:tmpl w:val="101ECC3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D39F2"/>
    <w:multiLevelType w:val="hybridMultilevel"/>
    <w:tmpl w:val="7D245C9A"/>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A2967CD"/>
    <w:multiLevelType w:val="hybridMultilevel"/>
    <w:tmpl w:val="ED347F78"/>
    <w:lvl w:ilvl="0" w:tplc="8786A73C">
      <w:start w:val="1"/>
      <w:numFmt w:val="bullet"/>
      <w:lvlText w:val=""/>
      <w:lvlJc w:val="left"/>
      <w:pPr>
        <w:tabs>
          <w:tab w:val="num" w:pos="780"/>
        </w:tabs>
        <w:ind w:left="780" w:hanging="360"/>
      </w:pPr>
      <w:rPr>
        <w:rFonts w:ascii="Symbol" w:hAnsi="Symbol" w:hint="default"/>
      </w:rPr>
    </w:lvl>
    <w:lvl w:ilvl="1" w:tplc="A50C40E6">
      <w:numFmt w:val="bullet"/>
      <w:lvlText w:val="-"/>
      <w:lvlJc w:val="left"/>
      <w:pPr>
        <w:tabs>
          <w:tab w:val="num" w:pos="1500"/>
        </w:tabs>
        <w:ind w:left="1500" w:hanging="360"/>
      </w:pPr>
      <w:rPr>
        <w:rFonts w:ascii="Arial" w:eastAsia="Times New Roman" w:hAnsi="Arial" w:cs="Arial" w:hint="default"/>
      </w:rPr>
    </w:lvl>
    <w:lvl w:ilvl="2" w:tplc="04020005">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B975C71"/>
    <w:multiLevelType w:val="hybridMultilevel"/>
    <w:tmpl w:val="2CB69DF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9B7C12"/>
    <w:multiLevelType w:val="hybridMultilevel"/>
    <w:tmpl w:val="1B165C8A"/>
    <w:lvl w:ilvl="0" w:tplc="03DC8608">
      <w:start w:val="1"/>
      <w:numFmt w:val="bullet"/>
      <w:lvlText w:val=""/>
      <w:lvlJc w:val="left"/>
      <w:pPr>
        <w:tabs>
          <w:tab w:val="num" w:pos="1080"/>
        </w:tabs>
        <w:ind w:left="720" w:firstLine="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70B3D91"/>
    <w:multiLevelType w:val="hybridMultilevel"/>
    <w:tmpl w:val="DC5EA6D4"/>
    <w:lvl w:ilvl="0" w:tplc="12C6B42E">
      <w:start w:val="24"/>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8454906"/>
    <w:multiLevelType w:val="hybridMultilevel"/>
    <w:tmpl w:val="511AAE6C"/>
    <w:lvl w:ilvl="0" w:tplc="5516ADAC">
      <w:start w:val="1"/>
      <w:numFmt w:val="bullet"/>
      <w:lvlText w:val="­"/>
      <w:lvlJc w:val="left"/>
      <w:pPr>
        <w:tabs>
          <w:tab w:val="num" w:pos="720"/>
        </w:tabs>
        <w:ind w:left="720" w:hanging="360"/>
      </w:pPr>
      <w:rPr>
        <w:rFonts w:ascii="Courier New" w:hAnsi="Courier New"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23E24"/>
    <w:multiLevelType w:val="hybridMultilevel"/>
    <w:tmpl w:val="A41E8024"/>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83F3A"/>
    <w:multiLevelType w:val="hybridMultilevel"/>
    <w:tmpl w:val="C7406EE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D11CD8"/>
    <w:multiLevelType w:val="hybridMultilevel"/>
    <w:tmpl w:val="7E90DECC"/>
    <w:lvl w:ilvl="0" w:tplc="AD60C530">
      <w:start w:val="31"/>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3" w15:restartNumberingAfterBreak="0">
    <w:nsid w:val="2C4F05A0"/>
    <w:multiLevelType w:val="hybridMultilevel"/>
    <w:tmpl w:val="11403FBE"/>
    <w:lvl w:ilvl="0" w:tplc="487AF70C">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73B45"/>
    <w:multiLevelType w:val="hybridMultilevel"/>
    <w:tmpl w:val="FDFC5B1C"/>
    <w:lvl w:ilvl="0" w:tplc="487AF7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E52382E"/>
    <w:multiLevelType w:val="hybridMultilevel"/>
    <w:tmpl w:val="78745FF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279F7"/>
    <w:multiLevelType w:val="hybridMultilevel"/>
    <w:tmpl w:val="D316A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169CB"/>
    <w:multiLevelType w:val="hybridMultilevel"/>
    <w:tmpl w:val="52667BFC"/>
    <w:lvl w:ilvl="0" w:tplc="0402000F">
      <w:start w:val="4"/>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15:restartNumberingAfterBreak="0">
    <w:nsid w:val="35CA4B55"/>
    <w:multiLevelType w:val="hybridMultilevel"/>
    <w:tmpl w:val="0BC61FD6"/>
    <w:lvl w:ilvl="0" w:tplc="4272A51E">
      <w:start w:val="24"/>
      <w:numFmt w:val="decimal"/>
      <w:lvlText w:val="%1."/>
      <w:lvlJc w:val="left"/>
      <w:pPr>
        <w:ind w:left="502" w:hanging="360"/>
      </w:pPr>
      <w:rPr>
        <w:rFonts w:cs="Times New Roman" w:hint="default"/>
      </w:rPr>
    </w:lvl>
    <w:lvl w:ilvl="1" w:tplc="04020019" w:tentative="1">
      <w:start w:val="1"/>
      <w:numFmt w:val="lowerLetter"/>
      <w:lvlText w:val="%2."/>
      <w:lvlJc w:val="left"/>
      <w:pPr>
        <w:ind w:left="1222" w:hanging="360"/>
      </w:pPr>
      <w:rPr>
        <w:rFonts w:cs="Times New Roman"/>
      </w:rPr>
    </w:lvl>
    <w:lvl w:ilvl="2" w:tplc="0402001B" w:tentative="1">
      <w:start w:val="1"/>
      <w:numFmt w:val="lowerRoman"/>
      <w:lvlText w:val="%3."/>
      <w:lvlJc w:val="right"/>
      <w:pPr>
        <w:ind w:left="1942" w:hanging="180"/>
      </w:pPr>
      <w:rPr>
        <w:rFonts w:cs="Times New Roman"/>
      </w:rPr>
    </w:lvl>
    <w:lvl w:ilvl="3" w:tplc="0402000F" w:tentative="1">
      <w:start w:val="1"/>
      <w:numFmt w:val="decimal"/>
      <w:lvlText w:val="%4."/>
      <w:lvlJc w:val="left"/>
      <w:pPr>
        <w:ind w:left="2662" w:hanging="360"/>
      </w:pPr>
      <w:rPr>
        <w:rFonts w:cs="Times New Roman"/>
      </w:rPr>
    </w:lvl>
    <w:lvl w:ilvl="4" w:tplc="04020019" w:tentative="1">
      <w:start w:val="1"/>
      <w:numFmt w:val="lowerLetter"/>
      <w:lvlText w:val="%5."/>
      <w:lvlJc w:val="left"/>
      <w:pPr>
        <w:ind w:left="3382" w:hanging="360"/>
      </w:pPr>
      <w:rPr>
        <w:rFonts w:cs="Times New Roman"/>
      </w:rPr>
    </w:lvl>
    <w:lvl w:ilvl="5" w:tplc="0402001B" w:tentative="1">
      <w:start w:val="1"/>
      <w:numFmt w:val="lowerRoman"/>
      <w:lvlText w:val="%6."/>
      <w:lvlJc w:val="right"/>
      <w:pPr>
        <w:ind w:left="4102" w:hanging="180"/>
      </w:pPr>
      <w:rPr>
        <w:rFonts w:cs="Times New Roman"/>
      </w:rPr>
    </w:lvl>
    <w:lvl w:ilvl="6" w:tplc="0402000F" w:tentative="1">
      <w:start w:val="1"/>
      <w:numFmt w:val="decimal"/>
      <w:lvlText w:val="%7."/>
      <w:lvlJc w:val="left"/>
      <w:pPr>
        <w:ind w:left="4822" w:hanging="360"/>
      </w:pPr>
      <w:rPr>
        <w:rFonts w:cs="Times New Roman"/>
      </w:rPr>
    </w:lvl>
    <w:lvl w:ilvl="7" w:tplc="04020019" w:tentative="1">
      <w:start w:val="1"/>
      <w:numFmt w:val="lowerLetter"/>
      <w:lvlText w:val="%8."/>
      <w:lvlJc w:val="left"/>
      <w:pPr>
        <w:ind w:left="5542" w:hanging="360"/>
      </w:pPr>
      <w:rPr>
        <w:rFonts w:cs="Times New Roman"/>
      </w:rPr>
    </w:lvl>
    <w:lvl w:ilvl="8" w:tplc="0402001B" w:tentative="1">
      <w:start w:val="1"/>
      <w:numFmt w:val="lowerRoman"/>
      <w:lvlText w:val="%9."/>
      <w:lvlJc w:val="right"/>
      <w:pPr>
        <w:ind w:left="6262" w:hanging="180"/>
      </w:pPr>
      <w:rPr>
        <w:rFonts w:cs="Times New Roman"/>
      </w:rPr>
    </w:lvl>
  </w:abstractNum>
  <w:abstractNum w:abstractNumId="19" w15:restartNumberingAfterBreak="0">
    <w:nsid w:val="36150763"/>
    <w:multiLevelType w:val="hybridMultilevel"/>
    <w:tmpl w:val="048A945E"/>
    <w:lvl w:ilvl="0" w:tplc="04020001">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F">
      <w:start w:val="1"/>
      <w:numFmt w:val="decimal"/>
      <w:lvlText w:val="%3."/>
      <w:lvlJc w:val="left"/>
      <w:pPr>
        <w:tabs>
          <w:tab w:val="num" w:pos="2520"/>
        </w:tabs>
        <w:ind w:left="2520" w:hanging="360"/>
      </w:pPr>
      <w:rPr>
        <w:rFont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2E239A"/>
    <w:multiLevelType w:val="hybridMultilevel"/>
    <w:tmpl w:val="14F42D80"/>
    <w:lvl w:ilvl="0" w:tplc="04020001">
      <w:start w:val="1"/>
      <w:numFmt w:val="bullet"/>
      <w:lvlText w:val=""/>
      <w:lvlJc w:val="left"/>
      <w:pPr>
        <w:tabs>
          <w:tab w:val="num" w:pos="780"/>
        </w:tabs>
        <w:ind w:left="780" w:hanging="360"/>
      </w:pPr>
      <w:rPr>
        <w:rFonts w:ascii="Symbol" w:hAnsi="Symbol" w:hint="default"/>
      </w:rPr>
    </w:lvl>
    <w:lvl w:ilvl="1" w:tplc="8786A73C">
      <w:start w:val="1"/>
      <w:numFmt w:val="bullet"/>
      <w:lvlText w:val=""/>
      <w:lvlJc w:val="left"/>
      <w:pPr>
        <w:tabs>
          <w:tab w:val="num" w:pos="1500"/>
        </w:tabs>
        <w:ind w:left="1500" w:hanging="360"/>
      </w:pPr>
      <w:rPr>
        <w:rFonts w:ascii="Symbol" w:hAnsi="Symbol" w:hint="default"/>
      </w:rPr>
    </w:lvl>
    <w:lvl w:ilvl="2" w:tplc="04020005">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E8A39EE"/>
    <w:multiLevelType w:val="hybridMultilevel"/>
    <w:tmpl w:val="476A1CB8"/>
    <w:lvl w:ilvl="0" w:tplc="87DEE5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D4622"/>
    <w:multiLevelType w:val="hybridMultilevel"/>
    <w:tmpl w:val="A5006C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33F5BF9"/>
    <w:multiLevelType w:val="hybridMultilevel"/>
    <w:tmpl w:val="5C3E3FDA"/>
    <w:lvl w:ilvl="0" w:tplc="8786A73C">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2B2AE6"/>
    <w:multiLevelType w:val="hybridMultilevel"/>
    <w:tmpl w:val="C890B128"/>
    <w:lvl w:ilvl="0" w:tplc="0A941A50">
      <w:start w:val="3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70B16"/>
    <w:multiLevelType w:val="multilevel"/>
    <w:tmpl w:val="FD94BB5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A8F72D2"/>
    <w:multiLevelType w:val="hybridMultilevel"/>
    <w:tmpl w:val="4B8E0ECE"/>
    <w:lvl w:ilvl="0" w:tplc="487AF70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A9848F2"/>
    <w:multiLevelType w:val="hybridMultilevel"/>
    <w:tmpl w:val="9DD6B772"/>
    <w:lvl w:ilvl="0" w:tplc="FFFFFFFF">
      <w:start w:val="1"/>
      <w:numFmt w:val="bullet"/>
      <w:lvlRestart w:val="0"/>
      <w:pStyle w:val="indent1"/>
      <w:lvlText w:val="·"/>
      <w:lvlJc w:val="left"/>
      <w:pPr>
        <w:tabs>
          <w:tab w:val="num" w:pos="425"/>
        </w:tabs>
        <w:ind w:left="425" w:hanging="425"/>
      </w:pPr>
      <w:rPr>
        <w:rFonts w:ascii="Symbol" w:hAnsi="Symbol" w:hint="default"/>
        <w:color w:val="000080"/>
        <w:sz w:val="22"/>
      </w:rPr>
    </w:lvl>
    <w:lvl w:ilvl="1" w:tplc="FFFFFFFF">
      <w:start w:val="1"/>
      <w:numFmt w:val="bullet"/>
      <w:lvlText w:val=""/>
      <w:legacy w:legacy="1" w:legacySpace="0" w:legacyIndent="360"/>
      <w:lvlJc w:val="left"/>
      <w:pPr>
        <w:ind w:left="1440" w:hanging="360"/>
      </w:pPr>
      <w:rPr>
        <w:rFonts w:ascii="Symbol" w:hAnsi="Symbol" w:hint="default"/>
        <w:color w:val="000080"/>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574D22"/>
    <w:multiLevelType w:val="hybridMultilevel"/>
    <w:tmpl w:val="DD3CCE36"/>
    <w:lvl w:ilvl="0" w:tplc="04020001">
      <w:start w:val="1"/>
      <w:numFmt w:val="bullet"/>
      <w:lvlText w:val=""/>
      <w:lvlJc w:val="left"/>
      <w:pPr>
        <w:tabs>
          <w:tab w:val="num" w:pos="780"/>
        </w:tabs>
        <w:ind w:left="780" w:hanging="360"/>
      </w:pPr>
      <w:rPr>
        <w:rFonts w:ascii="Symbol" w:hAnsi="Symbol" w:hint="default"/>
      </w:rPr>
    </w:lvl>
    <w:lvl w:ilvl="1" w:tplc="A50C40E6">
      <w:numFmt w:val="bullet"/>
      <w:lvlText w:val="-"/>
      <w:lvlJc w:val="left"/>
      <w:pPr>
        <w:tabs>
          <w:tab w:val="num" w:pos="1500"/>
        </w:tabs>
        <w:ind w:left="1500" w:hanging="360"/>
      </w:pPr>
      <w:rPr>
        <w:rFonts w:ascii="Arial" w:eastAsia="Times New Roman" w:hAnsi="Arial" w:cs="Arial" w:hint="default"/>
      </w:rPr>
    </w:lvl>
    <w:lvl w:ilvl="2" w:tplc="04020005">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F26623D"/>
    <w:multiLevelType w:val="singleLevel"/>
    <w:tmpl w:val="647663E0"/>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70DC75E7"/>
    <w:multiLevelType w:val="hybridMultilevel"/>
    <w:tmpl w:val="DC94AC9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67856"/>
    <w:multiLevelType w:val="hybridMultilevel"/>
    <w:tmpl w:val="B7CC8F90"/>
    <w:lvl w:ilvl="0" w:tplc="CAEC6A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450B5"/>
    <w:multiLevelType w:val="hybridMultilevel"/>
    <w:tmpl w:val="D2E8CE16"/>
    <w:lvl w:ilvl="0" w:tplc="8786A73C">
      <w:start w:val="1"/>
      <w:numFmt w:val="bullet"/>
      <w:lvlText w:val=""/>
      <w:lvlJc w:val="left"/>
      <w:pPr>
        <w:ind w:left="720" w:hanging="360"/>
      </w:pPr>
      <w:rPr>
        <w:rFonts w:ascii="Symbol" w:hAnsi="Symbol" w:hint="default"/>
      </w:rPr>
    </w:lvl>
    <w:lvl w:ilvl="1" w:tplc="487AF70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A79A4"/>
    <w:multiLevelType w:val="hybridMultilevel"/>
    <w:tmpl w:val="F03490C2"/>
    <w:lvl w:ilvl="0" w:tplc="FE5A8B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77041"/>
    <w:multiLevelType w:val="hybridMultilevel"/>
    <w:tmpl w:val="9F6465D8"/>
    <w:lvl w:ilvl="0" w:tplc="8786A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54493"/>
    <w:multiLevelType w:val="hybridMultilevel"/>
    <w:tmpl w:val="DA00D5CE"/>
    <w:lvl w:ilvl="0" w:tplc="8786A7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5"/>
  </w:num>
  <w:num w:numId="4">
    <w:abstractNumId w:val="27"/>
  </w:num>
  <w:num w:numId="5">
    <w:abstractNumId w:val="1"/>
  </w:num>
  <w:num w:numId="6">
    <w:abstractNumId w:val="8"/>
  </w:num>
  <w:num w:numId="7">
    <w:abstractNumId w:val="17"/>
  </w:num>
  <w:num w:numId="8">
    <w:abstractNumId w:val="18"/>
  </w:num>
  <w:num w:numId="9">
    <w:abstractNumId w:val="26"/>
  </w:num>
  <w:num w:numId="10">
    <w:abstractNumId w:val="14"/>
  </w:num>
  <w:num w:numId="11">
    <w:abstractNumId w:val="28"/>
  </w:num>
  <w:num w:numId="12">
    <w:abstractNumId w:val="4"/>
  </w:num>
  <w:num w:numId="13">
    <w:abstractNumId w:val="6"/>
  </w:num>
  <w:num w:numId="14">
    <w:abstractNumId w:val="3"/>
  </w:num>
  <w:num w:numId="15">
    <w:abstractNumId w:val="15"/>
  </w:num>
  <w:num w:numId="16">
    <w:abstractNumId w:val="19"/>
  </w:num>
  <w:num w:numId="17">
    <w:abstractNumId w:val="11"/>
  </w:num>
  <w:num w:numId="18">
    <w:abstractNumId w:val="5"/>
  </w:num>
  <w:num w:numId="19">
    <w:abstractNumId w:val="23"/>
  </w:num>
  <w:num w:numId="20">
    <w:abstractNumId w:val="20"/>
  </w:num>
  <w:num w:numId="21">
    <w:abstractNumId w:val="35"/>
  </w:num>
  <w:num w:numId="22">
    <w:abstractNumId w:val="5"/>
  </w:num>
  <w:num w:numId="23">
    <w:abstractNumId w:val="23"/>
  </w:num>
  <w:num w:numId="24">
    <w:abstractNumId w:val="20"/>
  </w:num>
  <w:num w:numId="25">
    <w:abstractNumId w:val="35"/>
  </w:num>
  <w:num w:numId="26">
    <w:abstractNumId w:val="22"/>
  </w:num>
  <w:num w:numId="27">
    <w:abstractNumId w:val="32"/>
  </w:num>
  <w:num w:numId="28">
    <w:abstractNumId w:val="31"/>
  </w:num>
  <w:num w:numId="29">
    <w:abstractNumId w:val="33"/>
  </w:num>
  <w:num w:numId="30">
    <w:abstractNumId w:val="16"/>
  </w:num>
  <w:num w:numId="31">
    <w:abstractNumId w:val="10"/>
  </w:num>
  <w:num w:numId="32">
    <w:abstractNumId w:val="21"/>
  </w:num>
  <w:num w:numId="33">
    <w:abstractNumId w:val="12"/>
  </w:num>
  <w:num w:numId="34">
    <w:abstractNumId w:val="30"/>
  </w:num>
  <w:num w:numId="35">
    <w:abstractNumId w:val="24"/>
  </w:num>
  <w:num w:numId="36">
    <w:abstractNumId w:val="29"/>
  </w:num>
  <w:num w:numId="37">
    <w:abstractNumId w:val="0"/>
  </w:num>
  <w:num w:numId="38">
    <w:abstractNumId w:val="34"/>
  </w:num>
  <w:num w:numId="39">
    <w:abstractNumId w:val="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D1"/>
    <w:rsid w:val="00010F3E"/>
    <w:rsid w:val="00015CF8"/>
    <w:rsid w:val="000440E0"/>
    <w:rsid w:val="000554E8"/>
    <w:rsid w:val="00065E6C"/>
    <w:rsid w:val="000723FC"/>
    <w:rsid w:val="00087320"/>
    <w:rsid w:val="000B14CA"/>
    <w:rsid w:val="000C50F4"/>
    <w:rsid w:val="000F59A5"/>
    <w:rsid w:val="000F67DB"/>
    <w:rsid w:val="0011263B"/>
    <w:rsid w:val="001262EB"/>
    <w:rsid w:val="001430AC"/>
    <w:rsid w:val="002339A1"/>
    <w:rsid w:val="00287BDD"/>
    <w:rsid w:val="00296E48"/>
    <w:rsid w:val="002F30E0"/>
    <w:rsid w:val="002F6ED1"/>
    <w:rsid w:val="00301728"/>
    <w:rsid w:val="00305305"/>
    <w:rsid w:val="00344723"/>
    <w:rsid w:val="003A147F"/>
    <w:rsid w:val="003B7CBD"/>
    <w:rsid w:val="004A352E"/>
    <w:rsid w:val="004B7BBB"/>
    <w:rsid w:val="004C5C6D"/>
    <w:rsid w:val="00544DA5"/>
    <w:rsid w:val="00582CC9"/>
    <w:rsid w:val="0062697D"/>
    <w:rsid w:val="00636A90"/>
    <w:rsid w:val="006D0E0C"/>
    <w:rsid w:val="00725BE4"/>
    <w:rsid w:val="00736FCE"/>
    <w:rsid w:val="007566D9"/>
    <w:rsid w:val="00763911"/>
    <w:rsid w:val="007E067A"/>
    <w:rsid w:val="00817B2D"/>
    <w:rsid w:val="0082243E"/>
    <w:rsid w:val="008664A9"/>
    <w:rsid w:val="00892AE2"/>
    <w:rsid w:val="008A588E"/>
    <w:rsid w:val="008C46AC"/>
    <w:rsid w:val="008C65FD"/>
    <w:rsid w:val="008D5307"/>
    <w:rsid w:val="008E5748"/>
    <w:rsid w:val="008F66D1"/>
    <w:rsid w:val="00911666"/>
    <w:rsid w:val="00913167"/>
    <w:rsid w:val="00920496"/>
    <w:rsid w:val="0096580E"/>
    <w:rsid w:val="00982F61"/>
    <w:rsid w:val="009A3B0A"/>
    <w:rsid w:val="009B6310"/>
    <w:rsid w:val="009B74EB"/>
    <w:rsid w:val="00A13B8B"/>
    <w:rsid w:val="00AC5530"/>
    <w:rsid w:val="00AD4B09"/>
    <w:rsid w:val="00AD5E5D"/>
    <w:rsid w:val="00AD7ABF"/>
    <w:rsid w:val="00B06C2A"/>
    <w:rsid w:val="00B5690A"/>
    <w:rsid w:val="00BC526C"/>
    <w:rsid w:val="00C323CA"/>
    <w:rsid w:val="00C42124"/>
    <w:rsid w:val="00C46C22"/>
    <w:rsid w:val="00C66B91"/>
    <w:rsid w:val="00C746C9"/>
    <w:rsid w:val="00C830E0"/>
    <w:rsid w:val="00CF6E9D"/>
    <w:rsid w:val="00D02A60"/>
    <w:rsid w:val="00D14081"/>
    <w:rsid w:val="00D520F0"/>
    <w:rsid w:val="00D84AD8"/>
    <w:rsid w:val="00D92459"/>
    <w:rsid w:val="00DB0455"/>
    <w:rsid w:val="00DB5436"/>
    <w:rsid w:val="00DB7C9B"/>
    <w:rsid w:val="00DC2916"/>
    <w:rsid w:val="00DD07AD"/>
    <w:rsid w:val="00E922D1"/>
    <w:rsid w:val="00E94D03"/>
    <w:rsid w:val="00EB5073"/>
    <w:rsid w:val="00EC51C3"/>
    <w:rsid w:val="00EE3CD4"/>
    <w:rsid w:val="00EE4BD2"/>
    <w:rsid w:val="00F12143"/>
    <w:rsid w:val="00F43B7C"/>
    <w:rsid w:val="00F70128"/>
    <w:rsid w:val="00FB5145"/>
    <w:rsid w:val="00FB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433537-6DC2-4794-8DF9-57EDD763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1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922D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922D1"/>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9"/>
    <w:qFormat/>
    <w:rsid w:val="00E922D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E922D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E922D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E922D1"/>
    <w:pPr>
      <w:spacing w:before="240" w:after="60"/>
      <w:outlineLvl w:val="5"/>
    </w:pPr>
    <w:rPr>
      <w:rFonts w:ascii="Calibri" w:hAnsi="Calibri"/>
      <w:b/>
      <w:bCs/>
      <w:sz w:val="20"/>
      <w:szCs w:val="20"/>
    </w:rPr>
  </w:style>
  <w:style w:type="paragraph" w:styleId="Heading7">
    <w:name w:val="heading 7"/>
    <w:basedOn w:val="Normal"/>
    <w:next w:val="Normal"/>
    <w:link w:val="Heading7Char"/>
    <w:uiPriority w:val="99"/>
    <w:qFormat/>
    <w:rsid w:val="00E922D1"/>
    <w:pPr>
      <w:spacing w:before="240" w:after="60"/>
      <w:outlineLvl w:val="6"/>
    </w:pPr>
    <w:rPr>
      <w:rFonts w:ascii="Calibri" w:hAnsi="Calibri"/>
    </w:rPr>
  </w:style>
  <w:style w:type="paragraph" w:styleId="Heading8">
    <w:name w:val="heading 8"/>
    <w:basedOn w:val="Normal"/>
    <w:next w:val="Normal"/>
    <w:link w:val="Heading8Char"/>
    <w:uiPriority w:val="99"/>
    <w:qFormat/>
    <w:rsid w:val="00E922D1"/>
    <w:pPr>
      <w:spacing w:before="240" w:after="60"/>
      <w:outlineLvl w:val="7"/>
    </w:pPr>
    <w:rPr>
      <w:rFonts w:ascii="Calibri" w:hAnsi="Calibri"/>
      <w:i/>
      <w:iCs/>
    </w:rPr>
  </w:style>
  <w:style w:type="paragraph" w:styleId="Heading9">
    <w:name w:val="heading 9"/>
    <w:basedOn w:val="Normal"/>
    <w:next w:val="Normal"/>
    <w:link w:val="Heading9Char"/>
    <w:uiPriority w:val="99"/>
    <w:qFormat/>
    <w:rsid w:val="00E922D1"/>
    <w:p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922D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E922D1"/>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9"/>
    <w:rsid w:val="00E922D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9"/>
    <w:rsid w:val="00E922D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E922D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E922D1"/>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9"/>
    <w:rsid w:val="00E922D1"/>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E922D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E922D1"/>
    <w:rPr>
      <w:rFonts w:ascii="Cambria" w:eastAsia="Times New Roman" w:hAnsi="Cambria" w:cs="Times New Roman"/>
      <w:sz w:val="20"/>
      <w:szCs w:val="20"/>
    </w:rPr>
  </w:style>
  <w:style w:type="paragraph" w:styleId="Header">
    <w:name w:val="header"/>
    <w:aliases w:val="even,hd"/>
    <w:basedOn w:val="Normal"/>
    <w:link w:val="HeaderChar"/>
    <w:uiPriority w:val="99"/>
    <w:rsid w:val="00E922D1"/>
    <w:pPr>
      <w:tabs>
        <w:tab w:val="center" w:pos="4703"/>
        <w:tab w:val="right" w:pos="9406"/>
      </w:tabs>
    </w:pPr>
  </w:style>
  <w:style w:type="character" w:customStyle="1" w:styleId="HeaderChar">
    <w:name w:val="Header Char"/>
    <w:aliases w:val="even Char,hd Char"/>
    <w:basedOn w:val="DefaultParagraphFont"/>
    <w:link w:val="Header"/>
    <w:uiPriority w:val="99"/>
    <w:rsid w:val="00E922D1"/>
    <w:rPr>
      <w:rFonts w:ascii="Times New Roman" w:eastAsia="Times New Roman" w:hAnsi="Times New Roman" w:cs="Times New Roman"/>
      <w:sz w:val="24"/>
      <w:szCs w:val="24"/>
    </w:rPr>
  </w:style>
  <w:style w:type="paragraph" w:styleId="Footer">
    <w:name w:val="footer"/>
    <w:basedOn w:val="Normal"/>
    <w:link w:val="FooterChar"/>
    <w:uiPriority w:val="99"/>
    <w:rsid w:val="00E922D1"/>
    <w:pPr>
      <w:tabs>
        <w:tab w:val="center" w:pos="4703"/>
        <w:tab w:val="right" w:pos="9406"/>
      </w:tabs>
    </w:pPr>
  </w:style>
  <w:style w:type="character" w:customStyle="1" w:styleId="FooterChar">
    <w:name w:val="Footer Char"/>
    <w:basedOn w:val="DefaultParagraphFont"/>
    <w:link w:val="Footer"/>
    <w:uiPriority w:val="99"/>
    <w:rsid w:val="00E922D1"/>
    <w:rPr>
      <w:rFonts w:ascii="Times New Roman" w:eastAsia="Times New Roman" w:hAnsi="Times New Roman" w:cs="Times New Roman"/>
      <w:sz w:val="24"/>
      <w:szCs w:val="24"/>
    </w:rPr>
  </w:style>
  <w:style w:type="character" w:styleId="PageNumber">
    <w:name w:val="page number"/>
    <w:uiPriority w:val="99"/>
    <w:rsid w:val="00E922D1"/>
    <w:rPr>
      <w:rFonts w:cs="Times New Roman"/>
    </w:rPr>
  </w:style>
  <w:style w:type="paragraph" w:styleId="TableofFigures">
    <w:name w:val="table of figures"/>
    <w:basedOn w:val="Normal"/>
    <w:uiPriority w:val="99"/>
    <w:semiHidden/>
    <w:rsid w:val="00E922D1"/>
    <w:pPr>
      <w:jc w:val="both"/>
    </w:pPr>
    <w:rPr>
      <w:sz w:val="20"/>
      <w:szCs w:val="20"/>
      <w:lang w:val="en-GB"/>
    </w:rPr>
  </w:style>
  <w:style w:type="paragraph" w:styleId="BodyText">
    <w:name w:val="Body Text"/>
    <w:basedOn w:val="Normal"/>
    <w:link w:val="BodyTextChar"/>
    <w:uiPriority w:val="99"/>
    <w:rsid w:val="00E922D1"/>
    <w:pPr>
      <w:jc w:val="both"/>
    </w:pPr>
    <w:rPr>
      <w:szCs w:val="20"/>
    </w:rPr>
  </w:style>
  <w:style w:type="character" w:customStyle="1" w:styleId="BodyTextChar">
    <w:name w:val="Body Text Char"/>
    <w:basedOn w:val="DefaultParagraphFont"/>
    <w:link w:val="BodyText"/>
    <w:uiPriority w:val="99"/>
    <w:rsid w:val="00E922D1"/>
    <w:rPr>
      <w:rFonts w:ascii="Times New Roman" w:eastAsia="Times New Roman" w:hAnsi="Times New Roman" w:cs="Times New Roman"/>
      <w:sz w:val="24"/>
      <w:szCs w:val="20"/>
    </w:rPr>
  </w:style>
  <w:style w:type="paragraph" w:customStyle="1" w:styleId="xl26">
    <w:name w:val="xl26"/>
    <w:basedOn w:val="Normal"/>
    <w:uiPriority w:val="99"/>
    <w:rsid w:val="00E922D1"/>
    <w:pPr>
      <w:spacing w:before="100" w:beforeAutospacing="1" w:after="100" w:afterAutospacing="1"/>
      <w:jc w:val="right"/>
      <w:textAlignment w:val="top"/>
    </w:pPr>
    <w:rPr>
      <w:lang w:val="en-GB"/>
    </w:rPr>
  </w:style>
  <w:style w:type="paragraph" w:styleId="BodyText2">
    <w:name w:val="Body Text 2"/>
    <w:basedOn w:val="Normal"/>
    <w:link w:val="BodyText2Char"/>
    <w:uiPriority w:val="99"/>
    <w:rsid w:val="00E922D1"/>
    <w:pPr>
      <w:spacing w:after="120" w:line="480" w:lineRule="auto"/>
    </w:pPr>
    <w:rPr>
      <w:lang w:val="x-none" w:eastAsia="x-none"/>
    </w:rPr>
  </w:style>
  <w:style w:type="character" w:customStyle="1" w:styleId="BodyText2Char">
    <w:name w:val="Body Text 2 Char"/>
    <w:basedOn w:val="DefaultParagraphFont"/>
    <w:link w:val="BodyText2"/>
    <w:uiPriority w:val="99"/>
    <w:rsid w:val="00E922D1"/>
    <w:rPr>
      <w:rFonts w:ascii="Times New Roman" w:eastAsia="Times New Roman" w:hAnsi="Times New Roman" w:cs="Times New Roman"/>
      <w:sz w:val="24"/>
      <w:szCs w:val="24"/>
      <w:lang w:val="x-none" w:eastAsia="x-none"/>
    </w:rPr>
  </w:style>
  <w:style w:type="paragraph" w:customStyle="1" w:styleId="xl29">
    <w:name w:val="xl29"/>
    <w:basedOn w:val="Normal"/>
    <w:uiPriority w:val="99"/>
    <w:rsid w:val="00E922D1"/>
    <w:pPr>
      <w:pBdr>
        <w:left w:val="single" w:sz="6" w:space="0" w:color="auto"/>
        <w:bottom w:val="single" w:sz="6" w:space="0" w:color="auto"/>
        <w:right w:val="single" w:sz="6" w:space="0" w:color="auto"/>
      </w:pBdr>
      <w:autoSpaceDE w:val="0"/>
      <w:autoSpaceDN w:val="0"/>
      <w:spacing w:before="100" w:after="100"/>
    </w:pPr>
    <w:rPr>
      <w:lang w:val="en-GB"/>
    </w:rPr>
  </w:style>
  <w:style w:type="paragraph" w:customStyle="1" w:styleId="Head1">
    <w:name w:val="Head1"/>
    <w:basedOn w:val="BodyText"/>
    <w:uiPriority w:val="99"/>
    <w:rsid w:val="00E922D1"/>
    <w:pPr>
      <w:autoSpaceDE w:val="0"/>
      <w:autoSpaceDN w:val="0"/>
      <w:jc w:val="left"/>
    </w:pPr>
    <w:rPr>
      <w:rFonts w:ascii="Timok" w:hAnsi="Timok"/>
      <w:b/>
      <w:bCs/>
      <w:smallCaps/>
      <w:szCs w:val="24"/>
      <w:lang w:val="en-GB"/>
    </w:rPr>
  </w:style>
  <w:style w:type="paragraph" w:styleId="BodyTextIndent">
    <w:name w:val="Body Text Indent"/>
    <w:basedOn w:val="Normal"/>
    <w:link w:val="BodyTextIndentChar"/>
    <w:uiPriority w:val="99"/>
    <w:rsid w:val="00E922D1"/>
    <w:pPr>
      <w:spacing w:after="120"/>
      <w:ind w:left="283"/>
    </w:pPr>
  </w:style>
  <w:style w:type="character" w:customStyle="1" w:styleId="BodyTextIndentChar">
    <w:name w:val="Body Text Indent Char"/>
    <w:basedOn w:val="DefaultParagraphFont"/>
    <w:link w:val="BodyTextIndent"/>
    <w:uiPriority w:val="99"/>
    <w:rsid w:val="00E922D1"/>
    <w:rPr>
      <w:rFonts w:ascii="Times New Roman" w:eastAsia="Times New Roman" w:hAnsi="Times New Roman" w:cs="Times New Roman"/>
      <w:sz w:val="24"/>
      <w:szCs w:val="24"/>
    </w:rPr>
  </w:style>
  <w:style w:type="paragraph" w:customStyle="1" w:styleId="084cursiefgeeninspring">
    <w:name w:val="084.cursief geen inspring"/>
    <w:basedOn w:val="Normal"/>
    <w:next w:val="Normal"/>
    <w:uiPriority w:val="99"/>
    <w:rsid w:val="00E922D1"/>
    <w:pPr>
      <w:keepNext/>
      <w:autoSpaceDE w:val="0"/>
      <w:autoSpaceDN w:val="0"/>
      <w:adjustRightInd w:val="0"/>
      <w:spacing w:line="280" w:lineRule="atLeast"/>
    </w:pPr>
    <w:rPr>
      <w:i/>
      <w:iCs/>
      <w:lang w:val="nl-NL" w:eastAsia="bg-BG"/>
    </w:rPr>
  </w:style>
  <w:style w:type="paragraph" w:styleId="CommentText">
    <w:name w:val="annotation text"/>
    <w:basedOn w:val="Normal"/>
    <w:link w:val="CommentTextChar"/>
    <w:uiPriority w:val="99"/>
    <w:semiHidden/>
    <w:rsid w:val="00E922D1"/>
    <w:rPr>
      <w:sz w:val="20"/>
      <w:szCs w:val="20"/>
    </w:rPr>
  </w:style>
  <w:style w:type="character" w:customStyle="1" w:styleId="CommentTextChar">
    <w:name w:val="Comment Text Char"/>
    <w:basedOn w:val="DefaultParagraphFont"/>
    <w:link w:val="CommentText"/>
    <w:uiPriority w:val="99"/>
    <w:semiHidden/>
    <w:rsid w:val="00E922D1"/>
    <w:rPr>
      <w:rFonts w:ascii="Times New Roman" w:eastAsia="Times New Roman" w:hAnsi="Times New Roman" w:cs="Times New Roman"/>
      <w:sz w:val="20"/>
      <w:szCs w:val="20"/>
    </w:rPr>
  </w:style>
  <w:style w:type="paragraph" w:customStyle="1" w:styleId="TableofFiguresTotal">
    <w:name w:val="Table of Figures Total"/>
    <w:basedOn w:val="TableofFigures"/>
    <w:uiPriority w:val="99"/>
    <w:rsid w:val="00E922D1"/>
    <w:rPr>
      <w:b/>
    </w:rPr>
  </w:style>
  <w:style w:type="paragraph" w:styleId="BodyText3">
    <w:name w:val="Body Text 3"/>
    <w:basedOn w:val="Normal"/>
    <w:link w:val="BodyText3Char"/>
    <w:uiPriority w:val="99"/>
    <w:rsid w:val="00E922D1"/>
    <w:pPr>
      <w:autoSpaceDE w:val="0"/>
      <w:autoSpaceDN w:val="0"/>
      <w:adjustRightInd w:val="0"/>
    </w:pPr>
    <w:rPr>
      <w:sz w:val="16"/>
      <w:szCs w:val="16"/>
    </w:rPr>
  </w:style>
  <w:style w:type="character" w:customStyle="1" w:styleId="BodyText3Char">
    <w:name w:val="Body Text 3 Char"/>
    <w:basedOn w:val="DefaultParagraphFont"/>
    <w:link w:val="BodyText3"/>
    <w:uiPriority w:val="99"/>
    <w:rsid w:val="00E922D1"/>
    <w:rPr>
      <w:rFonts w:ascii="Times New Roman" w:eastAsia="Times New Roman" w:hAnsi="Times New Roman" w:cs="Times New Roman"/>
      <w:sz w:val="16"/>
      <w:szCs w:val="16"/>
    </w:rPr>
  </w:style>
  <w:style w:type="paragraph" w:styleId="DocumentMap">
    <w:name w:val="Document Map"/>
    <w:basedOn w:val="Normal"/>
    <w:link w:val="DocumentMapChar"/>
    <w:uiPriority w:val="99"/>
    <w:semiHidden/>
    <w:rsid w:val="00E922D1"/>
    <w:pPr>
      <w:shd w:val="clear" w:color="auto" w:fill="000080"/>
    </w:pPr>
    <w:rPr>
      <w:sz w:val="2"/>
      <w:szCs w:val="20"/>
    </w:rPr>
  </w:style>
  <w:style w:type="character" w:customStyle="1" w:styleId="DocumentMapChar">
    <w:name w:val="Document Map Char"/>
    <w:basedOn w:val="DefaultParagraphFont"/>
    <w:link w:val="DocumentMap"/>
    <w:uiPriority w:val="99"/>
    <w:semiHidden/>
    <w:rsid w:val="00E922D1"/>
    <w:rPr>
      <w:rFonts w:ascii="Times New Roman" w:eastAsia="Times New Roman" w:hAnsi="Times New Roman" w:cs="Times New Roman"/>
      <w:sz w:val="2"/>
      <w:szCs w:val="20"/>
      <w:shd w:val="clear" w:color="auto" w:fill="000080"/>
    </w:rPr>
  </w:style>
  <w:style w:type="table" w:customStyle="1" w:styleId="TableNormal1">
    <w:name w:val="Table Normal1"/>
    <w:uiPriority w:val="99"/>
    <w:semiHidden/>
    <w:rsid w:val="00E922D1"/>
    <w:pPr>
      <w:spacing w:after="0" w:line="240" w:lineRule="auto"/>
    </w:pPr>
    <w:rPr>
      <w:rFonts w:ascii="Times New Roman" w:eastAsia="Times New Roman" w:hAnsi="Times New Roman" w:cs="Times New Roman"/>
      <w:sz w:val="20"/>
      <w:szCs w:val="20"/>
      <w:lang w:val="en-GB" w:eastAsia="en-GB"/>
    </w:rPr>
    <w:tblPr>
      <w:tblCellMar>
        <w:top w:w="0" w:type="dxa"/>
        <w:left w:w="108" w:type="dxa"/>
        <w:bottom w:w="0" w:type="dxa"/>
        <w:right w:w="108" w:type="dxa"/>
      </w:tblCellMar>
    </w:tblPr>
  </w:style>
  <w:style w:type="paragraph" w:styleId="BalloonText">
    <w:name w:val="Balloon Text"/>
    <w:basedOn w:val="Normal"/>
    <w:link w:val="BalloonTextChar"/>
    <w:uiPriority w:val="99"/>
    <w:semiHidden/>
    <w:rsid w:val="00E922D1"/>
    <w:rPr>
      <w:sz w:val="2"/>
      <w:szCs w:val="20"/>
    </w:rPr>
  </w:style>
  <w:style w:type="character" w:customStyle="1" w:styleId="BalloonTextChar">
    <w:name w:val="Balloon Text Char"/>
    <w:basedOn w:val="DefaultParagraphFont"/>
    <w:link w:val="BalloonText"/>
    <w:uiPriority w:val="99"/>
    <w:semiHidden/>
    <w:rsid w:val="00E922D1"/>
    <w:rPr>
      <w:rFonts w:ascii="Times New Roman" w:eastAsia="Times New Roman" w:hAnsi="Times New Roman" w:cs="Times New Roman"/>
      <w:sz w:val="2"/>
      <w:szCs w:val="20"/>
    </w:rPr>
  </w:style>
  <w:style w:type="paragraph" w:customStyle="1" w:styleId="xl107">
    <w:name w:val="xl107"/>
    <w:basedOn w:val="Normal"/>
    <w:uiPriority w:val="99"/>
    <w:rsid w:val="00E922D1"/>
    <w:pPr>
      <w:pBdr>
        <w:left w:val="single" w:sz="8" w:space="0" w:color="auto"/>
      </w:pBdr>
      <w:spacing w:before="100" w:beforeAutospacing="1" w:after="100" w:afterAutospacing="1"/>
      <w:textAlignment w:val="center"/>
    </w:pPr>
    <w:rPr>
      <w:lang w:val="en-GB"/>
    </w:rPr>
  </w:style>
  <w:style w:type="paragraph" w:customStyle="1" w:styleId="TableofFiguresHeading">
    <w:name w:val="Table of Figures Heading"/>
    <w:basedOn w:val="TableofFigures"/>
    <w:uiPriority w:val="99"/>
    <w:rsid w:val="00E922D1"/>
    <w:pPr>
      <w:jc w:val="center"/>
    </w:pPr>
    <w:rPr>
      <w:b/>
    </w:rPr>
  </w:style>
  <w:style w:type="paragraph" w:customStyle="1" w:styleId="bodytext0">
    <w:name w:val="body_text"/>
    <w:basedOn w:val="Normal"/>
    <w:uiPriority w:val="99"/>
    <w:rsid w:val="00E922D1"/>
    <w:pPr>
      <w:spacing w:before="120" w:after="120"/>
      <w:jc w:val="both"/>
    </w:pPr>
    <w:rPr>
      <w:b/>
      <w:sz w:val="22"/>
      <w:szCs w:val="20"/>
      <w:lang w:val="bg-BG"/>
    </w:rPr>
  </w:style>
  <w:style w:type="character" w:customStyle="1" w:styleId="tabletxteygChar">
    <w:name w:val="tabletxt eyg Char"/>
    <w:link w:val="tabletxteyg"/>
    <w:uiPriority w:val="99"/>
    <w:locked/>
    <w:rsid w:val="00E922D1"/>
    <w:rPr>
      <w:rFonts w:ascii="EY Gothic Comp BookPS" w:hAnsi="EY Gothic Comp BookPS" w:cs="Times New Roman"/>
      <w:color w:val="000000"/>
      <w:lang w:val="en-GB"/>
    </w:rPr>
  </w:style>
  <w:style w:type="paragraph" w:customStyle="1" w:styleId="tabletxteyg">
    <w:name w:val="tabletxt eyg"/>
    <w:basedOn w:val="Normal"/>
    <w:link w:val="tabletxteygChar"/>
    <w:uiPriority w:val="99"/>
    <w:rsid w:val="00E922D1"/>
    <w:pPr>
      <w:tabs>
        <w:tab w:val="right" w:leader="dot" w:pos="9739"/>
      </w:tabs>
      <w:overflowPunct w:val="0"/>
      <w:autoSpaceDE w:val="0"/>
      <w:autoSpaceDN w:val="0"/>
      <w:adjustRightInd w:val="0"/>
      <w:spacing w:after="80" w:line="240" w:lineRule="exact"/>
      <w:textAlignment w:val="baseline"/>
    </w:pPr>
    <w:rPr>
      <w:rFonts w:ascii="EY Gothic Comp BookPS" w:eastAsiaTheme="minorHAnsi" w:hAnsi="EY Gothic Comp BookPS"/>
      <w:color w:val="000000"/>
      <w:sz w:val="22"/>
      <w:szCs w:val="22"/>
      <w:lang w:val="en-GB"/>
    </w:rPr>
  </w:style>
  <w:style w:type="paragraph" w:customStyle="1" w:styleId="xl30">
    <w:name w:val="xl30"/>
    <w:basedOn w:val="Normal"/>
    <w:uiPriority w:val="99"/>
    <w:rsid w:val="00E922D1"/>
    <w:pPr>
      <w:suppressAutoHyphens/>
      <w:spacing w:before="100" w:after="100"/>
    </w:pPr>
    <w:rPr>
      <w:sz w:val="22"/>
      <w:szCs w:val="22"/>
      <w:lang w:val="en-GB" w:eastAsia="ar-SA"/>
    </w:rPr>
  </w:style>
  <w:style w:type="paragraph" w:customStyle="1" w:styleId="1">
    <w:name w:val="Знак Знак1"/>
    <w:basedOn w:val="Normal"/>
    <w:uiPriority w:val="99"/>
    <w:semiHidden/>
    <w:rsid w:val="00E922D1"/>
    <w:pPr>
      <w:spacing w:after="160" w:line="240" w:lineRule="exact"/>
    </w:pPr>
    <w:rPr>
      <w:rFonts w:ascii="Tahoma" w:hAnsi="Tahoma"/>
      <w:sz w:val="18"/>
      <w:szCs w:val="20"/>
    </w:rPr>
  </w:style>
  <w:style w:type="table" w:styleId="TableGrid">
    <w:name w:val="Table Grid"/>
    <w:basedOn w:val="TableNormal"/>
    <w:rsid w:val="00E922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xtns">
    <w:name w:val="tabletxtns"/>
    <w:basedOn w:val="Normal"/>
    <w:link w:val="tabletxtnsChar"/>
    <w:uiPriority w:val="99"/>
    <w:rsid w:val="00E922D1"/>
    <w:pPr>
      <w:overflowPunct w:val="0"/>
      <w:autoSpaceDE w:val="0"/>
      <w:autoSpaceDN w:val="0"/>
      <w:adjustRightInd w:val="0"/>
      <w:spacing w:before="20" w:line="200" w:lineRule="exact"/>
      <w:textAlignment w:val="baseline"/>
    </w:pPr>
    <w:rPr>
      <w:rFonts w:ascii="EY Gothic Comp BookPS" w:hAnsi="EY Gothic Comp BookPS"/>
      <w:color w:val="000000"/>
      <w:sz w:val="20"/>
      <w:szCs w:val="20"/>
      <w:lang w:val="en-GB"/>
    </w:rPr>
  </w:style>
  <w:style w:type="paragraph" w:customStyle="1" w:styleId="dheader">
    <w:name w:val="#d header"/>
    <w:basedOn w:val="Normal"/>
    <w:link w:val="dheaderChar"/>
    <w:uiPriority w:val="99"/>
    <w:rsid w:val="00E922D1"/>
    <w:pPr>
      <w:keepNext/>
      <w:overflowPunct w:val="0"/>
      <w:autoSpaceDE w:val="0"/>
      <w:autoSpaceDN w:val="0"/>
      <w:adjustRightInd w:val="0"/>
      <w:spacing w:before="120" w:after="60" w:line="240" w:lineRule="exact"/>
      <w:ind w:left="360" w:hanging="360"/>
      <w:textAlignment w:val="baseline"/>
      <w:outlineLvl w:val="1"/>
    </w:pPr>
    <w:rPr>
      <w:rFonts w:ascii="EY Gothic Cond DemiPS" w:hAnsi="EY Gothic Cond DemiPS"/>
      <w:color w:val="000080"/>
      <w:sz w:val="22"/>
      <w:szCs w:val="22"/>
      <w:lang w:val="en-GB"/>
    </w:rPr>
  </w:style>
  <w:style w:type="paragraph" w:customStyle="1" w:styleId="index">
    <w:name w:val="index"/>
    <w:basedOn w:val="Normal"/>
    <w:uiPriority w:val="99"/>
    <w:rsid w:val="00E922D1"/>
    <w:pPr>
      <w:overflowPunct w:val="0"/>
      <w:autoSpaceDE w:val="0"/>
      <w:autoSpaceDN w:val="0"/>
      <w:adjustRightInd w:val="0"/>
      <w:spacing w:before="20"/>
      <w:ind w:right="-110"/>
      <w:textAlignment w:val="baseline"/>
    </w:pPr>
    <w:rPr>
      <w:rFonts w:ascii="EY Gothic Comp BookPS" w:hAnsi="EY Gothic Comp BookPS"/>
      <w:i/>
      <w:color w:val="000000"/>
      <w:sz w:val="16"/>
      <w:szCs w:val="14"/>
      <w:lang w:val="fr-FR"/>
    </w:rPr>
  </w:style>
  <w:style w:type="paragraph" w:customStyle="1" w:styleId="Commentarytext">
    <w:name w:val="Commentary text"/>
    <w:basedOn w:val="Normal"/>
    <w:link w:val="CommentarytextChar"/>
    <w:uiPriority w:val="99"/>
    <w:rsid w:val="00E922D1"/>
    <w:pPr>
      <w:pBdr>
        <w:top w:val="single" w:sz="12" w:space="7" w:color="000080"/>
        <w:bottom w:val="single" w:sz="12" w:space="8" w:color="000080"/>
      </w:pBdr>
      <w:shd w:val="clear" w:color="auto" w:fill="E0E0E0"/>
      <w:overflowPunct w:val="0"/>
      <w:autoSpaceDE w:val="0"/>
      <w:autoSpaceDN w:val="0"/>
      <w:adjustRightInd w:val="0"/>
      <w:spacing w:after="120" w:line="240" w:lineRule="exact"/>
      <w:textAlignment w:val="baseline"/>
    </w:pPr>
    <w:rPr>
      <w:rFonts w:ascii="TimesNewRomanPS" w:hAnsi="TimesNewRomanPS"/>
      <w:color w:val="000080"/>
      <w:sz w:val="20"/>
      <w:szCs w:val="20"/>
      <w:lang w:val="en-GB"/>
    </w:rPr>
  </w:style>
  <w:style w:type="paragraph" w:customStyle="1" w:styleId="Commentarytitle">
    <w:name w:val="Commentary title"/>
    <w:basedOn w:val="Normal"/>
    <w:uiPriority w:val="99"/>
    <w:rsid w:val="00E922D1"/>
    <w:pPr>
      <w:pBdr>
        <w:top w:val="single" w:sz="12" w:space="7" w:color="000080"/>
        <w:bottom w:val="single" w:sz="12" w:space="8" w:color="000080"/>
      </w:pBdr>
      <w:shd w:val="clear" w:color="auto" w:fill="E0E0E0"/>
      <w:overflowPunct w:val="0"/>
      <w:autoSpaceDE w:val="0"/>
      <w:autoSpaceDN w:val="0"/>
      <w:adjustRightInd w:val="0"/>
      <w:spacing w:before="240"/>
      <w:textAlignment w:val="baseline"/>
      <w:outlineLvl w:val="1"/>
    </w:pPr>
    <w:rPr>
      <w:rFonts w:ascii="EY Gothic Cond MedPS" w:hAnsi="EY Gothic Cond MedPS"/>
      <w:i/>
      <w:color w:val="000080"/>
      <w:szCs w:val="20"/>
    </w:rPr>
  </w:style>
  <w:style w:type="paragraph" w:customStyle="1" w:styleId="tabletxtblue">
    <w:name w:val="tabletxt blue"/>
    <w:basedOn w:val="tabletxtbluetotal"/>
    <w:link w:val="tabletxtblueChar"/>
    <w:uiPriority w:val="99"/>
    <w:rsid w:val="00E922D1"/>
    <w:pPr>
      <w:pBdr>
        <w:bottom w:val="none" w:sz="0" w:space="0" w:color="auto"/>
      </w:pBdr>
      <w:tabs>
        <w:tab w:val="clear" w:pos="782"/>
      </w:tabs>
      <w:spacing w:before="80"/>
    </w:pPr>
  </w:style>
  <w:style w:type="paragraph" w:customStyle="1" w:styleId="tabletxtbluetotal">
    <w:name w:val="tabletxt blue total"/>
    <w:basedOn w:val="Normal"/>
    <w:link w:val="tabletxtbluetotalChar"/>
    <w:uiPriority w:val="99"/>
    <w:rsid w:val="00E922D1"/>
    <w:pPr>
      <w:pBdr>
        <w:bottom w:val="double" w:sz="4" w:space="1" w:color="000080"/>
      </w:pBdr>
      <w:tabs>
        <w:tab w:val="decimal" w:pos="782"/>
      </w:tabs>
      <w:overflowPunct w:val="0"/>
      <w:autoSpaceDE w:val="0"/>
      <w:autoSpaceDN w:val="0"/>
      <w:adjustRightInd w:val="0"/>
      <w:spacing w:before="40" w:after="40" w:line="200" w:lineRule="exact"/>
      <w:textAlignment w:val="baseline"/>
    </w:pPr>
    <w:rPr>
      <w:rFonts w:ascii="EY Gothic Comp BookPS" w:hAnsi="EY Gothic Comp BookPS"/>
      <w:b/>
      <w:color w:val="000080"/>
      <w:sz w:val="20"/>
      <w:szCs w:val="20"/>
      <w:lang w:val="en-GB"/>
    </w:rPr>
  </w:style>
  <w:style w:type="character" w:customStyle="1" w:styleId="tabletxtbluetotalChar">
    <w:name w:val="tabletxt blue total Char"/>
    <w:link w:val="tabletxtbluetotal"/>
    <w:uiPriority w:val="99"/>
    <w:locked/>
    <w:rsid w:val="00E922D1"/>
    <w:rPr>
      <w:rFonts w:ascii="EY Gothic Comp BookPS" w:eastAsia="Times New Roman" w:hAnsi="EY Gothic Comp BookPS" w:cs="Times New Roman"/>
      <w:b/>
      <w:color w:val="000080"/>
      <w:sz w:val="20"/>
      <w:szCs w:val="20"/>
      <w:lang w:val="en-GB"/>
    </w:rPr>
  </w:style>
  <w:style w:type="character" w:customStyle="1" w:styleId="tabletxtblueChar">
    <w:name w:val="tabletxt blue Char"/>
    <w:basedOn w:val="tabletxtbluetotalChar"/>
    <w:link w:val="tabletxtblue"/>
    <w:uiPriority w:val="99"/>
    <w:locked/>
    <w:rsid w:val="00E922D1"/>
    <w:rPr>
      <w:rFonts w:ascii="EY Gothic Comp BookPS" w:eastAsia="Times New Roman" w:hAnsi="EY Gothic Comp BookPS" w:cs="Times New Roman"/>
      <w:b/>
      <w:color w:val="000080"/>
      <w:sz w:val="20"/>
      <w:szCs w:val="20"/>
      <w:lang w:val="en-GB"/>
    </w:rPr>
  </w:style>
  <w:style w:type="paragraph" w:customStyle="1" w:styleId="tabletxthdital">
    <w:name w:val="tabletxt hdital"/>
    <w:basedOn w:val="Normal"/>
    <w:uiPriority w:val="99"/>
    <w:rsid w:val="00E922D1"/>
    <w:pPr>
      <w:tabs>
        <w:tab w:val="decimal" w:pos="782"/>
      </w:tabs>
      <w:overflowPunct w:val="0"/>
      <w:autoSpaceDE w:val="0"/>
      <w:autoSpaceDN w:val="0"/>
      <w:adjustRightInd w:val="0"/>
      <w:spacing w:before="20" w:line="200" w:lineRule="exact"/>
      <w:textAlignment w:val="baseline"/>
    </w:pPr>
    <w:rPr>
      <w:rFonts w:ascii="EY Gothic Comp BookPS" w:hAnsi="EY Gothic Comp BookPS"/>
      <w:i/>
      <w:sz w:val="20"/>
      <w:szCs w:val="20"/>
      <w:lang w:val="en-GB"/>
    </w:rPr>
  </w:style>
  <w:style w:type="paragraph" w:customStyle="1" w:styleId="tabletxtsubtotal">
    <w:name w:val="tabletxt subtotal"/>
    <w:basedOn w:val="Normal"/>
    <w:uiPriority w:val="99"/>
    <w:rsid w:val="00E922D1"/>
    <w:pPr>
      <w:pBdr>
        <w:bottom w:val="single" w:sz="4" w:space="1" w:color="auto"/>
      </w:pBdr>
      <w:tabs>
        <w:tab w:val="decimal" w:pos="782"/>
      </w:tabs>
      <w:overflowPunct w:val="0"/>
      <w:autoSpaceDE w:val="0"/>
      <w:autoSpaceDN w:val="0"/>
      <w:adjustRightInd w:val="0"/>
      <w:spacing w:line="200" w:lineRule="exact"/>
      <w:textAlignment w:val="baseline"/>
    </w:pPr>
    <w:rPr>
      <w:rFonts w:ascii="EY Gothic Comp BookPS" w:hAnsi="EY Gothic Comp BookPS"/>
      <w:sz w:val="20"/>
      <w:szCs w:val="20"/>
      <w:lang w:val="en-GB"/>
    </w:rPr>
  </w:style>
  <w:style w:type="paragraph" w:customStyle="1" w:styleId="tabletxts">
    <w:name w:val="tabletxt #s"/>
    <w:basedOn w:val="Normal"/>
    <w:link w:val="tabletxtsChar"/>
    <w:uiPriority w:val="99"/>
    <w:rsid w:val="00E922D1"/>
    <w:pPr>
      <w:tabs>
        <w:tab w:val="decimal" w:pos="778"/>
      </w:tabs>
      <w:overflowPunct w:val="0"/>
      <w:autoSpaceDE w:val="0"/>
      <w:autoSpaceDN w:val="0"/>
      <w:adjustRightInd w:val="0"/>
      <w:spacing w:before="20" w:line="200" w:lineRule="exact"/>
      <w:textAlignment w:val="baseline"/>
    </w:pPr>
    <w:rPr>
      <w:rFonts w:ascii="EY Gothic Comp BookPS" w:hAnsi="EY Gothic Comp BookPS"/>
      <w:noProof/>
      <w:color w:val="000000"/>
      <w:sz w:val="20"/>
      <w:szCs w:val="20"/>
      <w:lang w:val="en-GB"/>
    </w:rPr>
  </w:style>
  <w:style w:type="paragraph" w:customStyle="1" w:styleId="tabletxtssm">
    <w:name w:val="tabletxt #s sm"/>
    <w:basedOn w:val="tabletxts"/>
    <w:link w:val="tabletxtssmChar"/>
    <w:uiPriority w:val="99"/>
    <w:rsid w:val="00E922D1"/>
    <w:pPr>
      <w:tabs>
        <w:tab w:val="clear" w:pos="778"/>
        <w:tab w:val="decimal" w:pos="504"/>
      </w:tabs>
    </w:pPr>
  </w:style>
  <w:style w:type="paragraph" w:customStyle="1" w:styleId="tabletxtin2">
    <w:name w:val="tabletxtin2"/>
    <w:basedOn w:val="Normal"/>
    <w:link w:val="tabletxtin2Char"/>
    <w:uiPriority w:val="99"/>
    <w:rsid w:val="00E922D1"/>
    <w:pPr>
      <w:overflowPunct w:val="0"/>
      <w:autoSpaceDE w:val="0"/>
      <w:autoSpaceDN w:val="0"/>
      <w:adjustRightInd w:val="0"/>
      <w:spacing w:before="20" w:line="200" w:lineRule="exact"/>
      <w:ind w:left="353" w:hanging="197"/>
      <w:textAlignment w:val="baseline"/>
    </w:pPr>
    <w:rPr>
      <w:rFonts w:ascii="EY Gothic Comp BookPS" w:hAnsi="EY Gothic Comp BookPS"/>
      <w:color w:val="000000"/>
      <w:sz w:val="20"/>
      <w:szCs w:val="20"/>
      <w:lang w:val="en-GB"/>
    </w:rPr>
  </w:style>
  <w:style w:type="character" w:customStyle="1" w:styleId="tabletxtnsChar">
    <w:name w:val="tabletxtns Char"/>
    <w:link w:val="tabletxtns"/>
    <w:uiPriority w:val="99"/>
    <w:locked/>
    <w:rsid w:val="00E922D1"/>
    <w:rPr>
      <w:rFonts w:ascii="EY Gothic Comp BookPS" w:eastAsia="Times New Roman" w:hAnsi="EY Gothic Comp BookPS" w:cs="Times New Roman"/>
      <w:color w:val="000000"/>
      <w:sz w:val="20"/>
      <w:szCs w:val="20"/>
      <w:lang w:val="en-GB"/>
    </w:rPr>
  </w:style>
  <w:style w:type="character" w:customStyle="1" w:styleId="dheaderChar">
    <w:name w:val="#d header Char"/>
    <w:link w:val="dheader"/>
    <w:uiPriority w:val="99"/>
    <w:locked/>
    <w:rsid w:val="00E922D1"/>
    <w:rPr>
      <w:rFonts w:ascii="EY Gothic Cond DemiPS" w:eastAsia="Times New Roman" w:hAnsi="EY Gothic Cond DemiPS" w:cs="Times New Roman"/>
      <w:color w:val="000080"/>
      <w:lang w:val="en-GB"/>
    </w:rPr>
  </w:style>
  <w:style w:type="character" w:customStyle="1" w:styleId="tabletxtsChar">
    <w:name w:val="tabletxt #s Char"/>
    <w:link w:val="tabletxts"/>
    <w:uiPriority w:val="99"/>
    <w:locked/>
    <w:rsid w:val="00E922D1"/>
    <w:rPr>
      <w:rFonts w:ascii="EY Gothic Comp BookPS" w:eastAsia="Times New Roman" w:hAnsi="EY Gothic Comp BookPS" w:cs="Times New Roman"/>
      <w:noProof/>
      <w:color w:val="000000"/>
      <w:sz w:val="20"/>
      <w:szCs w:val="20"/>
      <w:lang w:val="en-GB"/>
    </w:rPr>
  </w:style>
  <w:style w:type="character" w:customStyle="1" w:styleId="tabletxtssmChar">
    <w:name w:val="tabletxt #s sm Char"/>
    <w:basedOn w:val="tabletxtsChar"/>
    <w:link w:val="tabletxtssm"/>
    <w:uiPriority w:val="99"/>
    <w:locked/>
    <w:rsid w:val="00E922D1"/>
    <w:rPr>
      <w:rFonts w:ascii="EY Gothic Comp BookPS" w:eastAsia="Times New Roman" w:hAnsi="EY Gothic Comp BookPS" w:cs="Times New Roman"/>
      <w:noProof/>
      <w:color w:val="000000"/>
      <w:sz w:val="20"/>
      <w:szCs w:val="20"/>
      <w:lang w:val="en-GB"/>
    </w:rPr>
  </w:style>
  <w:style w:type="paragraph" w:customStyle="1" w:styleId="000Normal">
    <w:name w:val="000 Normal"/>
    <w:basedOn w:val="Normal"/>
    <w:uiPriority w:val="99"/>
    <w:rsid w:val="00E922D1"/>
    <w:pPr>
      <w:overflowPunct w:val="0"/>
      <w:autoSpaceDE w:val="0"/>
      <w:autoSpaceDN w:val="0"/>
      <w:adjustRightInd w:val="0"/>
      <w:spacing w:before="60" w:after="40" w:line="220" w:lineRule="exact"/>
      <w:jc w:val="both"/>
      <w:textAlignment w:val="baseline"/>
    </w:pPr>
    <w:rPr>
      <w:rFonts w:ascii="Garamond" w:hAnsi="Garamond"/>
      <w:sz w:val="20"/>
      <w:szCs w:val="20"/>
      <w:lang w:val="en-GB"/>
    </w:rPr>
  </w:style>
  <w:style w:type="character" w:customStyle="1" w:styleId="CommentarytextChar">
    <w:name w:val="Commentary text Char"/>
    <w:link w:val="Commentarytext"/>
    <w:uiPriority w:val="99"/>
    <w:locked/>
    <w:rsid w:val="00E922D1"/>
    <w:rPr>
      <w:rFonts w:ascii="TimesNewRomanPS" w:eastAsia="Times New Roman" w:hAnsi="TimesNewRomanPS" w:cs="Times New Roman"/>
      <w:color w:val="000080"/>
      <w:sz w:val="20"/>
      <w:szCs w:val="20"/>
      <w:shd w:val="clear" w:color="auto" w:fill="E0E0E0"/>
      <w:lang w:val="en-GB"/>
    </w:rPr>
  </w:style>
  <w:style w:type="character" w:customStyle="1" w:styleId="tabletxtin2Char">
    <w:name w:val="tabletxtin2 Char"/>
    <w:link w:val="tabletxtin2"/>
    <w:uiPriority w:val="99"/>
    <w:locked/>
    <w:rsid w:val="00E922D1"/>
    <w:rPr>
      <w:rFonts w:ascii="EY Gothic Comp BookPS" w:eastAsia="Times New Roman" w:hAnsi="EY Gothic Comp BookPS" w:cs="Times New Roman"/>
      <w:color w:val="000000"/>
      <w:sz w:val="20"/>
      <w:szCs w:val="20"/>
      <w:lang w:val="en-GB"/>
    </w:rPr>
  </w:style>
  <w:style w:type="paragraph" w:customStyle="1" w:styleId="200Tableleft">
    <w:name w:val="200 Table left"/>
    <w:basedOn w:val="000Normal"/>
    <w:uiPriority w:val="99"/>
    <w:rsid w:val="00E922D1"/>
    <w:pPr>
      <w:spacing w:before="20" w:after="0" w:line="200" w:lineRule="exact"/>
      <w:jc w:val="left"/>
    </w:pPr>
    <w:rPr>
      <w:lang w:val="bg-BG"/>
    </w:rPr>
  </w:style>
  <w:style w:type="paragraph" w:customStyle="1" w:styleId="bluesubhead">
    <w:name w:val="blue subhead"/>
    <w:basedOn w:val="Normal"/>
    <w:uiPriority w:val="99"/>
    <w:rsid w:val="00E922D1"/>
    <w:pPr>
      <w:overflowPunct w:val="0"/>
      <w:autoSpaceDE w:val="0"/>
      <w:autoSpaceDN w:val="0"/>
      <w:adjustRightInd w:val="0"/>
      <w:spacing w:line="240" w:lineRule="exact"/>
      <w:textAlignment w:val="baseline"/>
    </w:pPr>
    <w:rPr>
      <w:rFonts w:ascii="EY Gothic Comp BookPS" w:hAnsi="EY Gothic Comp BookPS"/>
      <w:b/>
      <w:color w:val="000080"/>
      <w:sz w:val="20"/>
      <w:szCs w:val="20"/>
    </w:rPr>
  </w:style>
  <w:style w:type="paragraph" w:styleId="NormalIndent">
    <w:name w:val="Normal Indent"/>
    <w:basedOn w:val="Normal"/>
    <w:uiPriority w:val="99"/>
    <w:rsid w:val="00E922D1"/>
    <w:pPr>
      <w:spacing w:after="120"/>
      <w:ind w:left="567"/>
      <w:jc w:val="both"/>
    </w:pPr>
    <w:rPr>
      <w:rFonts w:ascii="Tms Rmn" w:hAnsi="Tms Rmn"/>
      <w:sz w:val="20"/>
      <w:szCs w:val="20"/>
      <w:lang w:val="en-GB"/>
    </w:rPr>
  </w:style>
  <w:style w:type="paragraph" w:customStyle="1" w:styleId="heading">
    <w:name w:val="heading"/>
    <w:basedOn w:val="Heading2"/>
    <w:link w:val="headingChar"/>
    <w:uiPriority w:val="99"/>
    <w:rsid w:val="00E922D1"/>
    <w:pPr>
      <w:keepNext w:val="0"/>
      <w:overflowPunct w:val="0"/>
      <w:autoSpaceDE w:val="0"/>
      <w:autoSpaceDN w:val="0"/>
      <w:adjustRightInd w:val="0"/>
      <w:textAlignment w:val="baseline"/>
    </w:pPr>
    <w:rPr>
      <w:rFonts w:ascii="EY Gothic Cond MedPS" w:hAnsi="EY Gothic Cond MedPS"/>
      <w:bCs w:val="0"/>
      <w:iCs w:val="0"/>
      <w:sz w:val="24"/>
      <w:szCs w:val="20"/>
      <w:lang w:val="en-US" w:eastAsia="en-US"/>
    </w:rPr>
  </w:style>
  <w:style w:type="character" w:customStyle="1" w:styleId="headingChar">
    <w:name w:val="heading Char"/>
    <w:link w:val="heading"/>
    <w:uiPriority w:val="99"/>
    <w:locked/>
    <w:rsid w:val="00E922D1"/>
    <w:rPr>
      <w:rFonts w:ascii="EY Gothic Cond MedPS" w:eastAsia="Times New Roman" w:hAnsi="EY Gothic Cond MedPS" w:cs="Times New Roman"/>
      <w:b/>
      <w:i/>
      <w:sz w:val="24"/>
      <w:szCs w:val="20"/>
    </w:rPr>
  </w:style>
  <w:style w:type="character" w:customStyle="1" w:styleId="italsubhdChar">
    <w:name w:val="italsubhd Char"/>
    <w:link w:val="italsubhd"/>
    <w:uiPriority w:val="99"/>
    <w:locked/>
    <w:rsid w:val="00E922D1"/>
    <w:rPr>
      <w:rFonts w:ascii="EY Gothic Comp BookPS" w:hAnsi="EY Gothic Comp BookPS" w:cs="Times New Roman"/>
      <w:i/>
      <w:iCs/>
      <w:noProof/>
      <w:color w:val="000000"/>
      <w:lang w:val="en-GB"/>
    </w:rPr>
  </w:style>
  <w:style w:type="paragraph" w:customStyle="1" w:styleId="italsubhd">
    <w:name w:val="italsubhd"/>
    <w:basedOn w:val="Normal"/>
    <w:link w:val="italsubhdChar"/>
    <w:uiPriority w:val="99"/>
    <w:rsid w:val="00E922D1"/>
    <w:pPr>
      <w:tabs>
        <w:tab w:val="right" w:leader="dot" w:pos="9739"/>
      </w:tabs>
      <w:overflowPunct w:val="0"/>
      <w:autoSpaceDE w:val="0"/>
      <w:autoSpaceDN w:val="0"/>
      <w:adjustRightInd w:val="0"/>
      <w:spacing w:before="60" w:line="240" w:lineRule="exact"/>
      <w:textAlignment w:val="baseline"/>
    </w:pPr>
    <w:rPr>
      <w:rFonts w:ascii="EY Gothic Comp BookPS" w:eastAsiaTheme="minorHAnsi" w:hAnsi="EY Gothic Comp BookPS"/>
      <w:i/>
      <w:iCs/>
      <w:noProof/>
      <w:color w:val="000000"/>
      <w:sz w:val="22"/>
      <w:szCs w:val="22"/>
      <w:lang w:val="en-GB"/>
    </w:rPr>
  </w:style>
  <w:style w:type="paragraph" w:customStyle="1" w:styleId="indent1">
    <w:name w:val="indent1"/>
    <w:basedOn w:val="Normal"/>
    <w:uiPriority w:val="99"/>
    <w:rsid w:val="00E922D1"/>
    <w:pPr>
      <w:numPr>
        <w:numId w:val="4"/>
      </w:numPr>
      <w:tabs>
        <w:tab w:val="left" w:pos="810"/>
        <w:tab w:val="left" w:pos="1440"/>
      </w:tabs>
      <w:overflowPunct w:val="0"/>
      <w:autoSpaceDE w:val="0"/>
      <w:autoSpaceDN w:val="0"/>
      <w:adjustRightInd w:val="0"/>
      <w:spacing w:after="60" w:line="220" w:lineRule="exact"/>
      <w:textAlignment w:val="baseline"/>
    </w:pPr>
    <w:rPr>
      <w:rFonts w:ascii="EY Gothic Comp BookPS" w:hAnsi="EY Gothic Comp BookPS"/>
      <w:sz w:val="20"/>
      <w:szCs w:val="20"/>
      <w:lang w:val="en-GB"/>
    </w:rPr>
  </w:style>
  <w:style w:type="paragraph" w:styleId="TOC4">
    <w:name w:val="toc 4"/>
    <w:basedOn w:val="Normal"/>
    <w:next w:val="Normal"/>
    <w:autoRedefine/>
    <w:uiPriority w:val="99"/>
    <w:semiHidden/>
    <w:rsid w:val="00E922D1"/>
    <w:pPr>
      <w:overflowPunct w:val="0"/>
      <w:autoSpaceDE w:val="0"/>
      <w:autoSpaceDN w:val="0"/>
      <w:adjustRightInd w:val="0"/>
      <w:ind w:left="600"/>
      <w:textAlignment w:val="baseline"/>
    </w:pPr>
    <w:rPr>
      <w:sz w:val="20"/>
      <w:szCs w:val="20"/>
    </w:rPr>
  </w:style>
  <w:style w:type="paragraph" w:styleId="Title">
    <w:name w:val="Title"/>
    <w:basedOn w:val="Normal"/>
    <w:link w:val="TitleChar"/>
    <w:uiPriority w:val="99"/>
    <w:qFormat/>
    <w:rsid w:val="00E922D1"/>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TitleChar">
    <w:name w:val="Title Char"/>
    <w:basedOn w:val="DefaultParagraphFont"/>
    <w:link w:val="Title"/>
    <w:uiPriority w:val="99"/>
    <w:rsid w:val="00E922D1"/>
    <w:rPr>
      <w:rFonts w:ascii="Cambria" w:eastAsia="Times New Roman" w:hAnsi="Cambria" w:cs="Times New Roman"/>
      <w:b/>
      <w:bCs/>
      <w:kern w:val="28"/>
      <w:sz w:val="32"/>
      <w:szCs w:val="32"/>
    </w:rPr>
  </w:style>
  <w:style w:type="paragraph" w:styleId="ListParagraph">
    <w:name w:val="List Paragraph"/>
    <w:basedOn w:val="Normal"/>
    <w:uiPriority w:val="34"/>
    <w:qFormat/>
    <w:rsid w:val="00E922D1"/>
    <w:pPr>
      <w:ind w:left="720"/>
    </w:pPr>
  </w:style>
  <w:style w:type="paragraph" w:customStyle="1" w:styleId="Default">
    <w:name w:val="Default"/>
    <w:basedOn w:val="Normal"/>
    <w:rsid w:val="00E922D1"/>
    <w:pPr>
      <w:autoSpaceDE w:val="0"/>
      <w:autoSpaceDN w:val="0"/>
    </w:pPr>
    <w:rPr>
      <w:rFonts w:ascii="Arial" w:hAnsi="Arial" w:cs="Arial"/>
      <w:color w:val="000000"/>
      <w:lang w:val="bg-BG" w:eastAsia="bg-BG"/>
    </w:rPr>
  </w:style>
  <w:style w:type="paragraph" w:styleId="Revision">
    <w:name w:val="Revision"/>
    <w:hidden/>
    <w:uiPriority w:val="99"/>
    <w:semiHidden/>
    <w:rsid w:val="00E922D1"/>
    <w:pPr>
      <w:spacing w:after="0" w:line="240" w:lineRule="auto"/>
    </w:pPr>
    <w:rPr>
      <w:rFonts w:ascii="Times New Roman" w:eastAsia="Times New Roman" w:hAnsi="Times New Roman" w:cs="Times New Roman"/>
      <w:sz w:val="24"/>
      <w:szCs w:val="24"/>
    </w:rPr>
  </w:style>
  <w:style w:type="paragraph" w:customStyle="1" w:styleId="Normal1">
    <w:name w:val="Normal1"/>
    <w:basedOn w:val="Normal"/>
    <w:rsid w:val="00E922D1"/>
    <w:rPr>
      <w:lang w:val="bg-BG"/>
    </w:rPr>
  </w:style>
  <w:style w:type="character" w:styleId="Strong">
    <w:name w:val="Strong"/>
    <w:qFormat/>
    <w:rsid w:val="00E922D1"/>
    <w:rPr>
      <w:b/>
      <w:bCs/>
    </w:rPr>
  </w:style>
  <w:style w:type="paragraph" w:styleId="NoSpacing">
    <w:name w:val="No Spacing"/>
    <w:uiPriority w:val="1"/>
    <w:qFormat/>
    <w:rsid w:val="00E922D1"/>
    <w:pPr>
      <w:spacing w:after="0" w:line="240" w:lineRule="auto"/>
    </w:pPr>
    <w:rPr>
      <w:rFonts w:ascii="Times New Roman" w:eastAsia="Times New Roman" w:hAnsi="Times New Roman" w:cs="Times New Roman"/>
      <w:szCs w:val="20"/>
    </w:rPr>
  </w:style>
  <w:style w:type="paragraph" w:customStyle="1" w:styleId="xl24">
    <w:name w:val="xl24"/>
    <w:basedOn w:val="Normal"/>
    <w:rsid w:val="00E922D1"/>
    <w:pPr>
      <w:autoSpaceDE w:val="0"/>
      <w:autoSpaceDN w:val="0"/>
      <w:adjustRightInd w:val="0"/>
      <w:spacing w:before="100" w:after="100"/>
    </w:pPr>
    <w:rPr>
      <w:lang w:eastAsia="bg-BG"/>
    </w:rPr>
  </w:style>
  <w:style w:type="paragraph" w:customStyle="1" w:styleId="Style1">
    <w:name w:val="Style 1"/>
    <w:basedOn w:val="Normal"/>
    <w:rsid w:val="00E922D1"/>
    <w:pPr>
      <w:widowControl w:val="0"/>
      <w:autoSpaceDE w:val="0"/>
      <w:autoSpaceDN w:val="0"/>
      <w:adjustRightInd w:val="0"/>
    </w:pPr>
    <w:rPr>
      <w:sz w:val="20"/>
    </w:rPr>
  </w:style>
  <w:style w:type="paragraph" w:customStyle="1" w:styleId="BodyText1">
    <w:name w:val="Body Text1"/>
    <w:basedOn w:val="Normal"/>
    <w:rsid w:val="00E922D1"/>
    <w:pPr>
      <w:spacing w:before="120" w:after="120"/>
    </w:pPr>
    <w:rPr>
      <w:sz w:val="20"/>
      <w:szCs w:val="20"/>
    </w:rPr>
  </w:style>
  <w:style w:type="paragraph" w:customStyle="1" w:styleId="bullet">
    <w:name w:val="bullet"/>
    <w:basedOn w:val="Normal"/>
    <w:rsid w:val="00E922D1"/>
    <w:pPr>
      <w:tabs>
        <w:tab w:val="left" w:pos="360"/>
      </w:tabs>
      <w:spacing w:line="260" w:lineRule="atLeast"/>
      <w:ind w:left="357" w:hanging="357"/>
      <w:jc w:val="both"/>
    </w:pPr>
    <w:rPr>
      <w:sz w:val="20"/>
      <w:szCs w:val="20"/>
      <w:lang w:val="en-GB"/>
    </w:rPr>
  </w:style>
  <w:style w:type="paragraph" w:styleId="BodyTextIndent2">
    <w:name w:val="Body Text Indent 2"/>
    <w:basedOn w:val="Normal"/>
    <w:link w:val="BodyTextIndent2Char"/>
    <w:uiPriority w:val="99"/>
    <w:semiHidden/>
    <w:unhideWhenUsed/>
    <w:rsid w:val="00E922D1"/>
    <w:pPr>
      <w:spacing w:after="120" w:line="480" w:lineRule="auto"/>
      <w:ind w:left="283"/>
    </w:pPr>
    <w:rPr>
      <w:lang w:val="x-none" w:eastAsia="x-none"/>
    </w:rPr>
  </w:style>
  <w:style w:type="character" w:customStyle="1" w:styleId="BodyTextIndent2Char">
    <w:name w:val="Body Text Indent 2 Char"/>
    <w:basedOn w:val="DefaultParagraphFont"/>
    <w:link w:val="BodyTextIndent2"/>
    <w:uiPriority w:val="99"/>
    <w:semiHidden/>
    <w:rsid w:val="00E922D1"/>
    <w:rPr>
      <w:rFonts w:ascii="Times New Roman" w:eastAsia="Times New Roman" w:hAnsi="Times New Roman" w:cs="Times New Roman"/>
      <w:sz w:val="24"/>
      <w:szCs w:val="24"/>
      <w:lang w:val="x-none" w:eastAsia="x-none"/>
    </w:rPr>
  </w:style>
  <w:style w:type="character" w:styleId="Hyperlink">
    <w:name w:val="Hyperlink"/>
    <w:basedOn w:val="DefaultParagraphFont"/>
    <w:uiPriority w:val="99"/>
    <w:unhideWhenUsed/>
    <w:rsid w:val="00FB51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0472">
      <w:bodyDiv w:val="1"/>
      <w:marLeft w:val="0"/>
      <w:marRight w:val="0"/>
      <w:marTop w:val="0"/>
      <w:marBottom w:val="0"/>
      <w:divBdr>
        <w:top w:val="none" w:sz="0" w:space="0" w:color="auto"/>
        <w:left w:val="none" w:sz="0" w:space="0" w:color="auto"/>
        <w:bottom w:val="none" w:sz="0" w:space="0" w:color="auto"/>
        <w:right w:val="none" w:sz="0" w:space="0" w:color="auto"/>
      </w:divBdr>
    </w:div>
    <w:div w:id="384253855">
      <w:bodyDiv w:val="1"/>
      <w:marLeft w:val="0"/>
      <w:marRight w:val="0"/>
      <w:marTop w:val="0"/>
      <w:marBottom w:val="0"/>
      <w:divBdr>
        <w:top w:val="none" w:sz="0" w:space="0" w:color="auto"/>
        <w:left w:val="none" w:sz="0" w:space="0" w:color="auto"/>
        <w:bottom w:val="none" w:sz="0" w:space="0" w:color="auto"/>
        <w:right w:val="none" w:sz="0" w:space="0" w:color="auto"/>
      </w:divBdr>
    </w:div>
    <w:div w:id="569460204">
      <w:bodyDiv w:val="1"/>
      <w:marLeft w:val="0"/>
      <w:marRight w:val="0"/>
      <w:marTop w:val="0"/>
      <w:marBottom w:val="0"/>
      <w:divBdr>
        <w:top w:val="none" w:sz="0" w:space="0" w:color="auto"/>
        <w:left w:val="none" w:sz="0" w:space="0" w:color="auto"/>
        <w:bottom w:val="none" w:sz="0" w:space="0" w:color="auto"/>
        <w:right w:val="none" w:sz="0" w:space="0" w:color="auto"/>
      </w:divBdr>
    </w:div>
    <w:div w:id="773289073">
      <w:bodyDiv w:val="1"/>
      <w:marLeft w:val="0"/>
      <w:marRight w:val="0"/>
      <w:marTop w:val="0"/>
      <w:marBottom w:val="0"/>
      <w:divBdr>
        <w:top w:val="none" w:sz="0" w:space="0" w:color="auto"/>
        <w:left w:val="none" w:sz="0" w:space="0" w:color="auto"/>
        <w:bottom w:val="none" w:sz="0" w:space="0" w:color="auto"/>
        <w:right w:val="none" w:sz="0" w:space="0" w:color="auto"/>
      </w:divBdr>
    </w:div>
    <w:div w:id="946890877">
      <w:bodyDiv w:val="1"/>
      <w:marLeft w:val="0"/>
      <w:marRight w:val="0"/>
      <w:marTop w:val="0"/>
      <w:marBottom w:val="0"/>
      <w:divBdr>
        <w:top w:val="none" w:sz="0" w:space="0" w:color="auto"/>
        <w:left w:val="none" w:sz="0" w:space="0" w:color="auto"/>
        <w:bottom w:val="none" w:sz="0" w:space="0" w:color="auto"/>
        <w:right w:val="none" w:sz="0" w:space="0" w:color="auto"/>
      </w:divBdr>
    </w:div>
    <w:div w:id="1715428858">
      <w:bodyDiv w:val="1"/>
      <w:marLeft w:val="0"/>
      <w:marRight w:val="0"/>
      <w:marTop w:val="0"/>
      <w:marBottom w:val="0"/>
      <w:divBdr>
        <w:top w:val="none" w:sz="0" w:space="0" w:color="auto"/>
        <w:left w:val="none" w:sz="0" w:space="0" w:color="auto"/>
        <w:bottom w:val="none" w:sz="0" w:space="0" w:color="auto"/>
        <w:right w:val="none" w:sz="0" w:space="0" w:color="auto"/>
      </w:divBdr>
    </w:div>
    <w:div w:id="1811940315">
      <w:bodyDiv w:val="1"/>
      <w:marLeft w:val="0"/>
      <w:marRight w:val="0"/>
      <w:marTop w:val="0"/>
      <w:marBottom w:val="0"/>
      <w:divBdr>
        <w:top w:val="none" w:sz="0" w:space="0" w:color="auto"/>
        <w:left w:val="none" w:sz="0" w:space="0" w:color="auto"/>
        <w:bottom w:val="none" w:sz="0" w:space="0" w:color="auto"/>
        <w:right w:val="none" w:sz="0" w:space="0" w:color="auto"/>
      </w:divBdr>
    </w:div>
    <w:div w:id="21348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yperlink" Target="http://www.iasplus.com/en/standards/ias/ias37" TargetMode="External"/><Relationship Id="rId3" Type="http://schemas.openxmlformats.org/officeDocument/2006/relationships/settings" Target="settings.xml"/><Relationship Id="rId21" Type="http://schemas.openxmlformats.org/officeDocument/2006/relationships/hyperlink" Target="http://www.iasplus.com/en/standards/ias/ias39" TargetMode="Externa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yperlink" Target="http://www.iasplus.com/en/standards/ias/ias40" TargetMode="Externa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www.iasplus.com/en/standards/ifrs/ifrs3"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iasplus.com/en/standards/ias/ias32" TargetMode="External"/><Relationship Id="rId28" Type="http://schemas.openxmlformats.org/officeDocument/2006/relationships/header" Target="header1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iasplus.com/en/standards/ifrs/ifrs9" TargetMode="External"/><Relationship Id="rId27" Type="http://schemas.openxmlformats.org/officeDocument/2006/relationships/hyperlink" Target="http://www.iasplus.com/en/standards/ias/ias1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38</Pages>
  <Words>12474</Words>
  <Characters>71103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Speedy JSC</Company>
  <LinksUpToDate>false</LinksUpToDate>
  <CharactersWithSpaces>83411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Стефка Левиджова</dc:creator>
  <cp:keywords/>
  <dc:description/>
  <cp:lastModifiedBy>tahchiev</cp:lastModifiedBy>
  <cp:revision>13</cp:revision>
  <cp:lastPrinted>2015-07-31T06:44:00Z</cp:lastPrinted>
  <dcterms:created xsi:type="dcterms:W3CDTF">2015-08-17T15:08:00Z</dcterms:created>
  <dcterms:modified xsi:type="dcterms:W3CDTF">2015-08-19T13:32:00Z</dcterms:modified>
</cp:coreProperties>
</file>